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34" w:type="dxa"/>
        <w:tblInd w:w="-312" w:type="dxa"/>
        <w:tblLayout w:type="fixed"/>
        <w:tblCellMar>
          <w:top w:w="0" w:type="dxa"/>
          <w:left w:w="108" w:type="dxa"/>
          <w:bottom w:w="0" w:type="dxa"/>
          <w:right w:w="108" w:type="dxa"/>
        </w:tblCellMar>
      </w:tblPr>
      <w:tblGrid>
        <w:gridCol w:w="7091"/>
        <w:gridCol w:w="1743"/>
      </w:tblGrid>
      <w:tr>
        <w:tblPrEx>
          <w:tblLayout w:type="fixed"/>
          <w:tblCellMar>
            <w:top w:w="0" w:type="dxa"/>
            <w:left w:w="108" w:type="dxa"/>
            <w:bottom w:w="0" w:type="dxa"/>
            <w:right w:w="108" w:type="dxa"/>
          </w:tblCellMar>
        </w:tblPrEx>
        <w:trPr>
          <w:cantSplit/>
          <w:trHeight w:val="2645" w:hRule="atLeast"/>
        </w:trPr>
        <w:tc>
          <w:tcPr>
            <w:tcW w:w="7091" w:type="dxa"/>
            <w:vAlign w:val="center"/>
          </w:tcPr>
          <w:p>
            <w:pPr>
              <w:jc w:val="distribute"/>
              <w:rPr>
                <w:rFonts w:ascii="Times New Roman" w:hAnsi="Times New Roman" w:eastAsia="宋体" w:cs="Times New Roman"/>
                <w:b/>
                <w:color w:val="FF0000"/>
                <w:sz w:val="80"/>
                <w:szCs w:val="80"/>
              </w:rPr>
            </w:pPr>
            <w:r>
              <w:rPr>
                <w:rFonts w:hint="eastAsia" w:ascii="Times New Roman" w:hAnsi="Times New Roman" w:eastAsia="宋体" w:cs="Times New Roman"/>
                <w:b/>
                <w:color w:val="FF0000"/>
                <w:spacing w:val="-58"/>
                <w:sz w:val="80"/>
                <w:szCs w:val="80"/>
              </w:rPr>
              <w:t>中共福建省委教育工委</w:t>
            </w:r>
            <w:r>
              <w:rPr>
                <w:rFonts w:ascii="Times New Roman" w:hAnsi="Times New Roman" w:eastAsia="宋体" w:cs="Times New Roman"/>
                <w:b/>
                <w:color w:val="FF0000"/>
                <w:spacing w:val="-58"/>
                <w:sz w:val="80"/>
                <w:szCs w:val="80"/>
              </w:rPr>
              <w:t xml:space="preserve">       </w:t>
            </w:r>
          </w:p>
        </w:tc>
        <w:tc>
          <w:tcPr>
            <w:tcW w:w="1743" w:type="dxa"/>
            <w:vAlign w:val="center"/>
          </w:tcPr>
          <w:p>
            <w:pPr>
              <w:ind w:left="-105" w:leftChars="-50" w:right="-105" w:rightChars="-50"/>
              <w:jc w:val="center"/>
              <w:rPr>
                <w:rFonts w:ascii="Times New Roman" w:hAnsi="Times New Roman" w:eastAsia="宋体" w:cs="Times New Roman"/>
                <w:b/>
                <w:color w:val="FF0000"/>
                <w:spacing w:val="-22"/>
                <w:sz w:val="80"/>
                <w:szCs w:val="80"/>
              </w:rPr>
            </w:pPr>
            <w:r>
              <w:rPr>
                <w:rFonts w:hint="eastAsia" w:ascii="Times New Roman" w:hAnsi="Times New Roman" w:eastAsia="宋体" w:cs="Times New Roman"/>
                <w:b/>
                <w:color w:val="FF0000"/>
                <w:spacing w:val="-22"/>
                <w:sz w:val="80"/>
                <w:szCs w:val="80"/>
              </w:rPr>
              <w:t>文件</w:t>
            </w:r>
          </w:p>
        </w:tc>
      </w:tr>
    </w:tbl>
    <w:p>
      <w:pPr>
        <w:snapToGrid w:val="0"/>
        <w:spacing w:line="900" w:lineRule="exact"/>
        <w:jc w:val="center"/>
        <w:rPr>
          <w:rFonts w:ascii="仿宋_GB2312" w:hAnsi="宋体" w:eastAsia="仿宋_GB2312" w:cs="Times New Roman"/>
          <w:sz w:val="32"/>
          <w:szCs w:val="32"/>
        </w:rPr>
      </w:pPr>
    </w:p>
    <w:p>
      <w:pPr>
        <w:snapToGrid w:val="0"/>
        <w:jc w:val="center"/>
        <w:rPr>
          <w:rFonts w:hint="eastAsia" w:ascii="仿宋_GB2312" w:hAnsi="Times New Roman" w:eastAsia="仿宋_GB2312" w:cs="Times New Roman"/>
          <w:sz w:val="32"/>
          <w:szCs w:val="32"/>
        </w:rPr>
      </w:pPr>
      <w:r>
        <w:rPr>
          <w:rFonts w:hint="eastAsia" w:ascii="仿宋_GB2312" w:hAnsi="宋体" w:eastAsia="仿宋_GB2312" w:cs="Times New Roman"/>
          <w:sz w:val="32"/>
          <w:szCs w:val="32"/>
        </w:rPr>
        <w:t>闽委教组</w:t>
      </w:r>
      <w:r>
        <w:rPr>
          <w:rFonts w:hint="eastAsia" w:ascii="仿宋_GB2312" w:hAnsi="Times New Roman" w:eastAsia="仿宋_GB2312" w:cs="Times New Roman"/>
          <w:sz w:val="32"/>
          <w:szCs w:val="32"/>
        </w:rPr>
        <w:t>〔2018〕31号</w:t>
      </w:r>
    </w:p>
    <w:p>
      <w:pPr>
        <w:snapToGrid w:val="0"/>
        <w:spacing w:line="900" w:lineRule="exact"/>
        <w:jc w:val="center"/>
        <w:rPr>
          <w:rFonts w:hint="eastAsia" w:ascii="宋体" w:hAnsi="宋体" w:eastAsia="宋体" w:cs="Times New Roman"/>
          <w:b/>
          <w:sz w:val="44"/>
          <w:szCs w:val="44"/>
        </w:rPr>
      </w:pPr>
      <w:r>
        <w:rPr>
          <w:rFonts w:hint="eastAsia"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ragraph">
                  <wp:posOffset>99695</wp:posOffset>
                </wp:positionV>
                <wp:extent cx="6029960" cy="0"/>
                <wp:effectExtent l="0" t="19050" r="889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15.9pt;margin-top:7.85pt;height:0pt;width:474.8pt;z-index:251659264;mso-width-relative:page;mso-height-relative:page;" filled="f" stroked="t" coordsize="21600,21600" o:gfxdata="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gKJ2rXAAAACQEAAA8AAAAAAAAAAQAgAAAAIgAAAGRy&#10;cy9kb3ducmV2LnhtbFBLAQIUABQAAAAIAIdO4kBd/TAbzQEAAF0DAAAOAAAAAAAAAAEAIAAAACYB&#10;AABkcnMvZTJvRG9jLnhtbFBLBQYAAAAABgAGAFkBAABlBQAAAAA=&#10;">
                <v:fill on="f" focussize="0,0"/>
                <v:stroke weight="2.25pt" color="#FF0000" joinstyle="round"/>
                <v:imagedata o:title=""/>
                <o:lock v:ext="edit" aspectratio="f"/>
              </v:line>
            </w:pict>
          </mc:Fallback>
        </mc:AlternateConten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中共福建省委教育工委关于</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开展高校基层党支部达标创星活动的通知</w:t>
      </w:r>
    </w:p>
    <w:p>
      <w:pPr>
        <w:snapToGrid w:val="0"/>
        <w:spacing w:line="580" w:lineRule="exact"/>
        <w:jc w:val="center"/>
        <w:rPr>
          <w:rFonts w:hint="eastAsia" w:ascii="Times New Roman" w:hAnsi="Times New Roman" w:eastAsia="宋体" w:cs="Times New Roman"/>
          <w:sz w:val="44"/>
          <w:szCs w:val="44"/>
        </w:rPr>
      </w:pPr>
      <w:bookmarkStart w:id="0" w:name="_GoBack"/>
      <w:bookmarkEnd w:id="0"/>
    </w:p>
    <w:p>
      <w:pPr>
        <w:snapToGrid w:val="0"/>
        <w:spacing w:line="580" w:lineRule="exact"/>
        <w:ind w:right="-126" w:rightChars="-60"/>
        <w:rPr>
          <w:rFonts w:ascii="宋体" w:hAnsi="Times New Roman" w:eastAsia="仿宋_GB2312" w:cs="宋体"/>
          <w:color w:val="000000"/>
          <w:sz w:val="32"/>
          <w:szCs w:val="32"/>
        </w:rPr>
      </w:pPr>
      <w:r>
        <w:rPr>
          <w:rFonts w:hint="eastAsia" w:ascii="宋体" w:hAnsi="Times New Roman" w:eastAsia="仿宋_GB2312" w:cs="宋体"/>
          <w:color w:val="000000"/>
          <w:sz w:val="32"/>
          <w:szCs w:val="32"/>
        </w:rPr>
        <w:t>各有关高校党委：</w:t>
      </w:r>
    </w:p>
    <w:p>
      <w:pPr>
        <w:snapToGrid w:val="0"/>
        <w:spacing w:line="580" w:lineRule="exact"/>
        <w:ind w:right="-126" w:rightChars="-60" w:firstLine="640" w:firstLineChars="200"/>
        <w:rPr>
          <w:rFonts w:hint="eastAsia" w:ascii="宋体" w:hAnsi="Times New Roman" w:eastAsia="仿宋_GB2312" w:cs="宋体"/>
          <w:color w:val="000000"/>
          <w:sz w:val="32"/>
          <w:szCs w:val="32"/>
        </w:rPr>
      </w:pPr>
      <w:r>
        <w:rPr>
          <w:rFonts w:hint="eastAsia" w:ascii="宋体" w:hAnsi="Times New Roman" w:eastAsia="仿宋_GB2312" w:cs="宋体"/>
          <w:color w:val="000000"/>
          <w:sz w:val="32"/>
          <w:szCs w:val="32"/>
        </w:rPr>
        <w:t>根据省委组织部、非公有制企业和社会组织工委《关于开展基层党支部达标创星活动的实施方案》要求，按照党组织隶属关系，组织实施基层党支部达标创星活动。现结合高校工作实际，就</w:t>
      </w:r>
      <w:r>
        <w:rPr>
          <w:rFonts w:hint="eastAsia" w:ascii="仿宋_GB2312" w:hAnsi="仿宋_GB2312" w:eastAsia="仿宋_GB2312" w:cs="仿宋_GB2312"/>
          <w:sz w:val="32"/>
          <w:szCs w:val="32"/>
        </w:rPr>
        <w:t>党组织关系隶属省委教育工委的高校</w:t>
      </w:r>
      <w:r>
        <w:rPr>
          <w:rFonts w:hint="eastAsia" w:ascii="宋体" w:hAnsi="Times New Roman" w:eastAsia="仿宋_GB2312" w:cs="宋体"/>
          <w:color w:val="000000"/>
          <w:sz w:val="32"/>
          <w:szCs w:val="32"/>
        </w:rPr>
        <w:t>开展活动有关事项通知如下。</w:t>
      </w:r>
    </w:p>
    <w:p>
      <w:pPr>
        <w:snapToGrid w:val="0"/>
        <w:spacing w:line="580" w:lineRule="exact"/>
        <w:ind w:right="-126" w:rightChars="-60" w:firstLine="640" w:firstLineChars="200"/>
        <w:rPr>
          <w:rFonts w:hint="eastAsia" w:ascii="黑体" w:hAnsi="黑体" w:eastAsia="黑体" w:cs="宋体"/>
          <w:color w:val="000000"/>
          <w:sz w:val="32"/>
          <w:szCs w:val="32"/>
        </w:rPr>
      </w:pPr>
      <w:r>
        <w:rPr>
          <w:rFonts w:hint="eastAsia" w:ascii="黑体" w:hAnsi="黑体" w:eastAsia="黑体" w:cs="宋体"/>
          <w:color w:val="000000"/>
          <w:sz w:val="32"/>
          <w:szCs w:val="32"/>
        </w:rPr>
        <w:t>一、</w:t>
      </w:r>
      <w:r>
        <w:rPr>
          <w:rFonts w:hint="eastAsia" w:ascii="黑体" w:hAnsi="黑体" w:eastAsia="黑体" w:cs="黑体"/>
          <w:color w:val="000000"/>
          <w:sz w:val="32"/>
          <w:szCs w:val="32"/>
        </w:rPr>
        <w:t>总体要求</w:t>
      </w:r>
    </w:p>
    <w:p>
      <w:pPr>
        <w:snapToGrid w:val="0"/>
        <w:spacing w:line="580" w:lineRule="exact"/>
        <w:ind w:right="-126" w:rightChars="-60" w:firstLine="640" w:firstLineChars="200"/>
        <w:rPr>
          <w:rFonts w:hint="eastAsia" w:ascii="宋体" w:hAnsi="Times New Roman" w:eastAsia="仿宋_GB2312" w:cs="宋体"/>
          <w:color w:val="000000"/>
          <w:spacing w:val="-4"/>
          <w:sz w:val="32"/>
          <w:szCs w:val="32"/>
        </w:rPr>
      </w:pPr>
      <w:r>
        <w:rPr>
          <w:rFonts w:hint="eastAsia" w:ascii="宋体" w:hAnsi="Times New Roman" w:eastAsia="仿宋_GB2312" w:cs="宋体"/>
          <w:color w:val="000000"/>
          <w:sz w:val="32"/>
          <w:szCs w:val="32"/>
        </w:rPr>
        <w:t>紧</w:t>
      </w:r>
      <w:r>
        <w:rPr>
          <w:rFonts w:hint="eastAsia" w:ascii="宋体" w:hAnsi="Times New Roman" w:eastAsia="仿宋_GB2312" w:cs="宋体"/>
          <w:color w:val="000000"/>
          <w:spacing w:val="-4"/>
          <w:sz w:val="32"/>
          <w:szCs w:val="32"/>
        </w:rPr>
        <w:t>紧围绕推进“两学一做”学习教育常态化制度化，以提升组织力为重点，突出政治功能，按照“客观、公正、严谨、务实”的原则，全面开展基层党支部达标创星活动，强化支部标准化、规范化建设，充分发挥支部主体作用，以政治建设为统领，以质量攻坚为动力，以提升组织力为重点，以推动事业发展为落脚点，严格对标看齐，勇于改革创新，努力争创先进，为办好人民满意教育提供坚强的组织保证。</w:t>
      </w:r>
    </w:p>
    <w:p>
      <w:pPr>
        <w:snapToGrid w:val="0"/>
        <w:spacing w:line="580" w:lineRule="exact"/>
        <w:ind w:right="-126" w:rightChars="-60"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二、工作对象</w:t>
      </w:r>
    </w:p>
    <w:p>
      <w:pPr>
        <w:snapToGrid w:val="0"/>
        <w:spacing w:line="580" w:lineRule="exact"/>
        <w:ind w:right="-126" w:rightChars="-60" w:firstLine="640" w:firstLineChars="200"/>
        <w:rPr>
          <w:rFonts w:hint="eastAsia" w:ascii="黑体" w:hAnsi="黑体" w:eastAsia="黑体" w:cs="黑体"/>
          <w:color w:val="000000"/>
          <w:kern w:val="0"/>
          <w:sz w:val="32"/>
          <w:szCs w:val="32"/>
        </w:rPr>
      </w:pPr>
      <w:r>
        <w:rPr>
          <w:rFonts w:hint="eastAsia" w:ascii="仿宋_GB2312" w:hAnsi="仿宋_GB2312" w:eastAsia="仿宋_GB2312" w:cs="仿宋_GB2312"/>
          <w:sz w:val="32"/>
          <w:szCs w:val="32"/>
        </w:rPr>
        <w:t>福州大学、福建师范大学、福建农林大学、福建医科大学、福建中医药大学、福建工程学院、福建江夏学院、福建商学院、福建教育学院、福建广播电视大学、仰恩大学、福建船政交通职业学院、福建信息职业技术学院、福建卫生职业技术学院、福建农业职业技术学院、福建幼儿师范高等专科学校、福建生物工程职业技术学院等17所党组织关系隶属省委教育工委的高校基层党支部。</w:t>
      </w:r>
    </w:p>
    <w:p>
      <w:pPr>
        <w:snapToGrid w:val="0"/>
        <w:spacing w:line="580" w:lineRule="exact"/>
        <w:ind w:right="-126" w:rightChars="-60"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三、考评内容</w:t>
      </w:r>
    </w:p>
    <w:p>
      <w:pPr>
        <w:snapToGrid w:val="0"/>
        <w:spacing w:line="580" w:lineRule="exact"/>
        <w:ind w:right="-126" w:rightChars="-60"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根据</w:t>
      </w:r>
      <w:r>
        <w:rPr>
          <w:rFonts w:hint="eastAsia" w:ascii="Times New Roman" w:hAnsi="Times New Roman" w:eastAsia="仿宋_GB2312" w:cs="Times New Roman"/>
          <w:color w:val="000000"/>
          <w:sz w:val="32"/>
          <w:szCs w:val="32"/>
        </w:rPr>
        <w:t>省委组织部、非公有制企业和社会组织工委要求，</w:t>
      </w:r>
      <w:r>
        <w:rPr>
          <w:rFonts w:hint="eastAsia" w:ascii="Times New Roman" w:hAnsi="Times New Roman" w:eastAsia="仿宋_GB2312" w:cs="Times New Roman"/>
          <w:color w:val="000000"/>
          <w:kern w:val="0"/>
          <w:sz w:val="32"/>
          <w:szCs w:val="32"/>
        </w:rPr>
        <w:t>省委教育工委按照“六个基本”建设的内涵</w:t>
      </w:r>
      <w:r>
        <w:rPr>
          <w:rFonts w:hint="eastAsia" w:ascii="Times New Roman" w:hAnsi="Times New Roman" w:eastAsia="仿宋_GB2312" w:cs="Times New Roman"/>
          <w:color w:val="000000"/>
          <w:sz w:val="32"/>
          <w:szCs w:val="32"/>
        </w:rPr>
        <w:t>制定了</w:t>
      </w:r>
      <w:r>
        <w:rPr>
          <w:rFonts w:hint="eastAsia" w:ascii="仿宋_GB2312" w:hAnsi="仿宋_GB2312" w:eastAsia="仿宋_GB2312" w:cs="仿宋_GB2312"/>
          <w:color w:val="000000"/>
          <w:sz w:val="32"/>
          <w:szCs w:val="32"/>
        </w:rPr>
        <w:t>《高校基层党支部达标创星标准及评分规则》（附件1）</w:t>
      </w:r>
      <w:r>
        <w:rPr>
          <w:rFonts w:hint="eastAsia" w:ascii="Times New Roman" w:hAnsi="Times New Roman" w:eastAsia="仿宋_GB2312" w:cs="Times New Roman"/>
          <w:color w:val="000000"/>
          <w:kern w:val="0"/>
          <w:sz w:val="32"/>
          <w:szCs w:val="32"/>
        </w:rPr>
        <w:t>。</w:t>
      </w:r>
    </w:p>
    <w:p>
      <w:pPr>
        <w:snapToGrid w:val="0"/>
        <w:spacing w:line="580" w:lineRule="exact"/>
        <w:ind w:right="-126" w:rightChars="-60"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（一）基本组织方面。</w:t>
      </w:r>
      <w:r>
        <w:rPr>
          <w:rFonts w:hint="eastAsia" w:ascii="仿宋_GB2312" w:hAnsi="仿宋_GB2312" w:eastAsia="仿宋_GB2312" w:cs="仿宋_GB2312"/>
          <w:color w:val="000000"/>
          <w:kern w:val="0"/>
          <w:sz w:val="32"/>
          <w:szCs w:val="32"/>
        </w:rPr>
        <w:t>按照党章规定，规范党组织设置，凡是有正式党员3人以上的，都应当成立党的基层组织，并根据工作需要和党员人数，经上级党组织批准，分别设立党的基层委员会、总支部委员会、支部委员会。正式党员不足3人成立联合党支部的，覆盖单位一般不超过3个。党员人数较多的党支部应合理划分党小组。严格执行按期换届制度规定。</w:t>
      </w:r>
    </w:p>
    <w:p>
      <w:pPr>
        <w:snapToGrid w:val="0"/>
        <w:spacing w:line="580" w:lineRule="exact"/>
        <w:ind w:right="-126" w:rightChars="-60" w:firstLine="640" w:firstLineChars="200"/>
        <w:rPr>
          <w:rFonts w:hint="eastAsia"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（二）基本队伍方面。</w:t>
      </w:r>
      <w:r>
        <w:rPr>
          <w:rFonts w:hint="eastAsia" w:ascii="Times New Roman" w:hAnsi="Times New Roman" w:eastAsia="仿宋_GB2312" w:cs="Times New Roman"/>
          <w:color w:val="000000"/>
          <w:kern w:val="0"/>
          <w:sz w:val="32"/>
          <w:szCs w:val="32"/>
        </w:rPr>
        <w:t>选优配强党组织书记，党组织书记队伍政治素质过硬，组织协调能力强，熟悉党务工作，善于做思想政治工作；党支部班子及“两委”班子配备合理、团结协调，有战斗力和凝聚力；配齐配强专兼职党务工作者，数量充足、业务熟悉、结构合理；突出政治标准，注重做好发展党员工作，加强党员教育管理，党员队伍充满活力。</w:t>
      </w:r>
    </w:p>
    <w:p>
      <w:pPr>
        <w:snapToGrid w:val="0"/>
        <w:spacing w:line="580" w:lineRule="exact"/>
        <w:ind w:firstLine="640" w:firstLineChars="200"/>
        <w:rPr>
          <w:rFonts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（三）基本活动方面。</w:t>
      </w:r>
      <w:r>
        <w:rPr>
          <w:rFonts w:hint="eastAsia" w:ascii="Times New Roman" w:hAnsi="Times New Roman" w:eastAsia="仿宋_GB2312" w:cs="Times New Roman"/>
          <w:color w:val="000000"/>
          <w:kern w:val="0"/>
          <w:sz w:val="32"/>
          <w:szCs w:val="32"/>
        </w:rPr>
        <w:t>扎实推进“两学一做”学习教育常态化制度化，认真开展“不忘初心、牢记使命”主题教育，采取形式多样的方式组织政治理论学习、理想信念和党性教育等活动；以重大节庆日、重要活动、重要节点为契机，定期开展主题党日，在主题设计上突出“党味”，在内容安排上贴近党员实际和群众需求，在组织形式上灵活生动。</w:t>
      </w:r>
    </w:p>
    <w:p>
      <w:pPr>
        <w:snapToGrid w:val="0"/>
        <w:spacing w:line="580" w:lineRule="exact"/>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kern w:val="0"/>
          <w:sz w:val="32"/>
          <w:szCs w:val="32"/>
        </w:rPr>
        <w:t>（四）基本作用方面。</w:t>
      </w:r>
      <w:r>
        <w:rPr>
          <w:rFonts w:hint="eastAsia" w:ascii="Times New Roman" w:hAnsi="Times New Roman" w:eastAsia="仿宋_GB2312" w:cs="Times New Roman"/>
          <w:color w:val="000000"/>
          <w:kern w:val="0"/>
          <w:sz w:val="32"/>
          <w:szCs w:val="32"/>
        </w:rPr>
        <w:t>围绕服务发展，组织开展党员承诺践诺评诺、设岗定责、业务竞赛等；围绕服务群众，组织开展便民服务、结对帮扶、在职党员到社区报到等；围绕服务社会，有针对性地开展社会公益、志愿服务等，充分发挥党组织战斗堡垒和党员先锋模范作用。坚持党建带群建、群建促党建，注重发挥工会、共青团、妇联等群团组织作用，形成合力。</w:t>
      </w:r>
    </w:p>
    <w:p>
      <w:pPr>
        <w:snapToGrid w:val="0"/>
        <w:spacing w:line="580" w:lineRule="exact"/>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kern w:val="0"/>
          <w:sz w:val="32"/>
          <w:szCs w:val="32"/>
        </w:rPr>
        <w:t>（五）基本制度方面。</w:t>
      </w:r>
      <w:r>
        <w:rPr>
          <w:rFonts w:hint="eastAsia" w:ascii="Times New Roman" w:hAnsi="Times New Roman" w:eastAsia="仿宋_GB2312" w:cs="Times New Roman"/>
          <w:color w:val="000000"/>
          <w:kern w:val="0"/>
          <w:sz w:val="32"/>
          <w:szCs w:val="32"/>
        </w:rPr>
        <w:t>严格落实“三会一课”、组织生活会、谈心谈话、党员民主评议等党的组织生活制度；认真执行党组织议事决策、沟通协调、党员发展教育管理监督、党费收缴使用、党务公开、党风廉政建设等工作制度；建立健全党内激励、关怀、帮扶机制和关心关爱困难职工群众制度。</w:t>
      </w:r>
    </w:p>
    <w:p>
      <w:pPr>
        <w:snapToGrid w:val="0"/>
        <w:spacing w:line="580" w:lineRule="exact"/>
        <w:ind w:firstLine="640" w:firstLineChars="200"/>
        <w:rPr>
          <w:rFonts w:ascii="Times New Roman" w:hAnsi="Times New Roman" w:eastAsia="仿宋_GB2312" w:cs="Times New Roman"/>
          <w:color w:val="000000"/>
          <w:spacing w:val="-4"/>
          <w:kern w:val="0"/>
          <w:sz w:val="32"/>
          <w:szCs w:val="32"/>
        </w:rPr>
      </w:pPr>
      <w:r>
        <w:rPr>
          <w:rFonts w:hint="eastAsia" w:ascii="楷体_GB2312" w:hAnsi="楷体_GB2312" w:eastAsia="楷体_GB2312" w:cs="楷体_GB2312"/>
          <w:color w:val="000000"/>
          <w:kern w:val="0"/>
          <w:sz w:val="32"/>
          <w:szCs w:val="32"/>
        </w:rPr>
        <w:t>（六）基本保障方面。</w:t>
      </w:r>
      <w:r>
        <w:rPr>
          <w:rFonts w:hint="eastAsia" w:ascii="Times New Roman" w:hAnsi="Times New Roman" w:eastAsia="仿宋_GB2312" w:cs="Times New Roman"/>
          <w:color w:val="000000"/>
          <w:kern w:val="0"/>
          <w:sz w:val="32"/>
          <w:szCs w:val="32"/>
        </w:rPr>
        <w:t>把党建工作经费纳入学校、单位、部门预算，足额保障；建立党建工作等各类经费管理使用办法，并严格执行；认真落实有关党务工作人员待遇保障政策；规范建设党组织活动</w:t>
      </w:r>
      <w:r>
        <w:rPr>
          <w:rFonts w:hint="eastAsia" w:ascii="Times New Roman" w:hAnsi="Times New Roman" w:eastAsia="仿宋_GB2312" w:cs="Times New Roman"/>
          <w:color w:val="000000"/>
          <w:spacing w:val="-4"/>
          <w:kern w:val="0"/>
          <w:sz w:val="32"/>
          <w:szCs w:val="32"/>
        </w:rPr>
        <w:t>场所，完善功能作用，促进场所“一室多用”，场所管理使用制度健全，做到有人管事、有钱办事、有章理事、有址议事。</w:t>
      </w:r>
    </w:p>
    <w:p>
      <w:pPr>
        <w:snapToGrid w:val="0"/>
        <w:spacing w:line="580" w:lineRule="exact"/>
        <w:ind w:right="-126" w:rightChars="-60" w:firstLine="624" w:firstLineChars="200"/>
        <w:rPr>
          <w:rFonts w:ascii="黑体" w:hAnsi="黑体" w:eastAsia="黑体" w:cs="黑体"/>
          <w:color w:val="000000"/>
          <w:spacing w:val="-4"/>
          <w:sz w:val="32"/>
          <w:szCs w:val="32"/>
        </w:rPr>
      </w:pPr>
      <w:r>
        <w:rPr>
          <w:rFonts w:hint="eastAsia" w:ascii="黑体" w:hAnsi="黑体" w:eastAsia="黑体" w:cs="黑体"/>
          <w:color w:val="000000"/>
          <w:spacing w:val="-4"/>
          <w:sz w:val="32"/>
          <w:szCs w:val="32"/>
        </w:rPr>
        <w:t>四、主要步骤</w:t>
      </w:r>
    </w:p>
    <w:p>
      <w:pPr>
        <w:snapToGrid w:val="0"/>
        <w:spacing w:line="580" w:lineRule="exact"/>
        <w:ind w:right="-126" w:rightChars="-60" w:firstLine="645"/>
        <w:rPr>
          <w:rFonts w:hint="eastAsia" w:ascii="仿宋_GB2312" w:hAnsi="仿宋_GB2312" w:eastAsia="仿宋_GB2312" w:cs="仿宋_GB2312"/>
          <w:kern w:val="0"/>
          <w:sz w:val="32"/>
          <w:szCs w:val="32"/>
        </w:rPr>
      </w:pPr>
      <w:r>
        <w:rPr>
          <w:rFonts w:hint="eastAsia" w:ascii="楷体" w:hAnsi="楷体" w:eastAsia="楷体" w:cs="楷体"/>
          <w:kern w:val="0"/>
          <w:sz w:val="32"/>
          <w:szCs w:val="32"/>
        </w:rPr>
        <w:t>（一）建立台账（2018年8-9月）。</w:t>
      </w:r>
      <w:r>
        <w:rPr>
          <w:rFonts w:hint="eastAsia" w:ascii="仿宋_GB2312" w:hAnsi="仿宋_GB2312" w:eastAsia="仿宋_GB2312" w:cs="仿宋_GB2312"/>
          <w:kern w:val="0"/>
          <w:sz w:val="32"/>
          <w:szCs w:val="32"/>
        </w:rPr>
        <w:t>各有关高校党委分别</w:t>
      </w:r>
      <w:r>
        <w:rPr>
          <w:rFonts w:hint="eastAsia" w:ascii="仿宋_GB2312" w:hAnsi="仿宋_GB2312" w:eastAsia="仿宋_GB2312" w:cs="仿宋_GB2312"/>
          <w:spacing w:val="-4"/>
          <w:kern w:val="0"/>
          <w:sz w:val="32"/>
          <w:szCs w:val="32"/>
        </w:rPr>
        <w:t>进行摸底，掌握底数、存在问题等，并分类建立工作台账（附件2），于9月21日前将纸版台账（1份，加盖校党委公章）报省委教育工委，同时将电子版报指定邮箱。</w:t>
      </w:r>
    </w:p>
    <w:p>
      <w:pPr>
        <w:snapToGrid w:val="0"/>
        <w:spacing w:line="580" w:lineRule="exact"/>
        <w:ind w:right="-126" w:rightChars="-60" w:firstLine="640" w:firstLineChars="200"/>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（二）评级定星（每年12月）。</w:t>
      </w:r>
      <w:r>
        <w:rPr>
          <w:rFonts w:hint="eastAsia" w:ascii="仿宋_GB2312" w:hAnsi="仿宋_GB2312" w:eastAsia="仿宋_GB2312" w:cs="仿宋_GB2312"/>
          <w:color w:val="000000"/>
          <w:sz w:val="32"/>
          <w:szCs w:val="32"/>
        </w:rPr>
        <w:t>每年12月底前，各</w:t>
      </w:r>
      <w:r>
        <w:rPr>
          <w:rFonts w:hint="eastAsia" w:ascii="仿宋_GB2312" w:hAnsi="仿宋_GB2312" w:eastAsia="仿宋_GB2312" w:cs="仿宋_GB2312"/>
          <w:color w:val="000000"/>
          <w:kern w:val="0"/>
          <w:sz w:val="32"/>
          <w:szCs w:val="32"/>
        </w:rPr>
        <w:t>有关高校党委</w:t>
      </w:r>
      <w:r>
        <w:rPr>
          <w:rFonts w:hint="eastAsia" w:ascii="仿宋_GB2312" w:hAnsi="仿宋_GB2312" w:eastAsia="仿宋_GB2312" w:cs="仿宋_GB2312"/>
          <w:color w:val="000000"/>
          <w:sz w:val="32"/>
          <w:szCs w:val="32"/>
        </w:rPr>
        <w:t>根据《高校基层党支部达标创星标准及评分规则》，组织对下属基层党支部进行考核，按照得分高低，确定先进、一般和后进等次，并对先进等次进行</w:t>
      </w:r>
      <w:r>
        <w:rPr>
          <w:rFonts w:hint="eastAsia" w:ascii="仿宋_GB2312" w:hAnsi="仿宋_GB2312" w:eastAsia="仿宋_GB2312" w:cs="仿宋_GB2312"/>
          <w:color w:val="000000"/>
          <w:kern w:val="0"/>
          <w:sz w:val="32"/>
          <w:szCs w:val="32"/>
        </w:rPr>
        <w:t>授星挂牌，其中，五星党支部需报</w:t>
      </w:r>
      <w:r>
        <w:rPr>
          <w:rFonts w:hint="eastAsia" w:ascii="仿宋_GB2312" w:hAnsi="仿宋_GB2312" w:eastAsia="仿宋_GB2312" w:cs="仿宋_GB2312"/>
          <w:color w:val="000000"/>
          <w:sz w:val="32"/>
          <w:szCs w:val="32"/>
        </w:rPr>
        <w:t>省委教育工委审核认定</w:t>
      </w:r>
      <w:r>
        <w:rPr>
          <w:rFonts w:hint="eastAsia" w:ascii="仿宋_GB2312" w:hAnsi="仿宋_GB2312" w:eastAsia="仿宋_GB2312" w:cs="仿宋_GB2312"/>
          <w:color w:val="000000"/>
          <w:kern w:val="0"/>
          <w:sz w:val="32"/>
          <w:szCs w:val="32"/>
        </w:rPr>
        <w:t>。</w:t>
      </w:r>
    </w:p>
    <w:p>
      <w:pPr>
        <w:snapToGrid w:val="0"/>
        <w:spacing w:line="580" w:lineRule="exact"/>
        <w:ind w:right="-126" w:rightChars="-6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“先进”等次：原则上，考核分数80分以上，总量控制在各高校党支部总数30%内的党支部为</w:t>
      </w:r>
      <w:r>
        <w:rPr>
          <w:rFonts w:hint="eastAsia" w:ascii="仿宋_GB2312" w:hAnsi="仿宋_GB2312" w:eastAsia="仿宋_GB2312" w:cs="仿宋_GB2312"/>
          <w:color w:val="000000"/>
          <w:sz w:val="32"/>
          <w:szCs w:val="32"/>
        </w:rPr>
        <w:t>“先进”等次，“先进”等次中设五星、四星和三星党支部。其中“五星党支部”应为考核分数90分以上，总量控制在</w:t>
      </w:r>
      <w:r>
        <w:rPr>
          <w:rFonts w:hint="eastAsia" w:ascii="仿宋_GB2312" w:hAnsi="仿宋_GB2312" w:eastAsia="仿宋_GB2312" w:cs="仿宋_GB2312"/>
          <w:color w:val="000000"/>
          <w:kern w:val="0"/>
          <w:sz w:val="32"/>
          <w:szCs w:val="32"/>
        </w:rPr>
        <w:t>党支部总数10%内；</w:t>
      </w:r>
      <w:r>
        <w:rPr>
          <w:rFonts w:hint="eastAsia" w:ascii="仿宋_GB2312" w:hAnsi="仿宋_GB2312" w:eastAsia="仿宋_GB2312" w:cs="仿宋_GB2312"/>
          <w:color w:val="000000"/>
          <w:sz w:val="32"/>
          <w:szCs w:val="32"/>
        </w:rPr>
        <w:t>“四星党支部”应为考核分数85-90分，总量控制在</w:t>
      </w:r>
      <w:r>
        <w:rPr>
          <w:rFonts w:hint="eastAsia" w:ascii="仿宋_GB2312" w:hAnsi="仿宋_GB2312" w:eastAsia="仿宋_GB2312" w:cs="仿宋_GB2312"/>
          <w:color w:val="000000"/>
          <w:kern w:val="0"/>
          <w:sz w:val="32"/>
          <w:szCs w:val="32"/>
        </w:rPr>
        <w:t>党支部总数10%内；</w:t>
      </w:r>
      <w:r>
        <w:rPr>
          <w:rFonts w:hint="eastAsia" w:ascii="仿宋_GB2312" w:hAnsi="仿宋_GB2312" w:eastAsia="仿宋_GB2312" w:cs="仿宋_GB2312"/>
          <w:color w:val="000000"/>
          <w:sz w:val="32"/>
          <w:szCs w:val="32"/>
        </w:rPr>
        <w:t>“三星党支部”应为考核分数80-85分，总量控制在</w:t>
      </w:r>
      <w:r>
        <w:rPr>
          <w:rFonts w:hint="eastAsia" w:ascii="仿宋_GB2312" w:hAnsi="仿宋_GB2312" w:eastAsia="仿宋_GB2312" w:cs="仿宋_GB2312"/>
          <w:color w:val="000000"/>
          <w:kern w:val="0"/>
          <w:sz w:val="32"/>
          <w:szCs w:val="32"/>
        </w:rPr>
        <w:t>党支部总数10%内。</w:t>
      </w:r>
    </w:p>
    <w:p>
      <w:pPr>
        <w:snapToGrid w:val="0"/>
        <w:spacing w:line="580" w:lineRule="exact"/>
        <w:ind w:right="-126" w:rightChars="-6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“一般”等次：考核分数为60-80分，总量控制在各高校党支部总数60%内的党支部为</w:t>
      </w:r>
      <w:r>
        <w:rPr>
          <w:rFonts w:hint="eastAsia" w:ascii="仿宋_GB2312" w:hAnsi="仿宋_GB2312" w:eastAsia="仿宋_GB2312" w:cs="仿宋_GB2312"/>
          <w:color w:val="000000"/>
          <w:sz w:val="32"/>
          <w:szCs w:val="32"/>
        </w:rPr>
        <w:t>“一般”等次。</w:t>
      </w:r>
    </w:p>
    <w:p>
      <w:pPr>
        <w:snapToGrid w:val="0"/>
        <w:spacing w:line="580" w:lineRule="exact"/>
        <w:ind w:right="-126" w:rightChars="-6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“后进”等次：</w:t>
      </w:r>
      <w:r>
        <w:rPr>
          <w:rFonts w:hint="eastAsia" w:ascii="仿宋_GB2312" w:hAnsi="仿宋_GB2312" w:eastAsia="仿宋_GB2312" w:cs="仿宋_GB2312"/>
          <w:color w:val="000000"/>
          <w:kern w:val="0"/>
          <w:sz w:val="32"/>
          <w:szCs w:val="32"/>
        </w:rPr>
        <w:t>考核分数为60分以下，总量控制在各高校党支部总数10%左右的党支部为</w:t>
      </w:r>
      <w:r>
        <w:rPr>
          <w:rFonts w:hint="eastAsia" w:ascii="仿宋_GB2312" w:hAnsi="仿宋_GB2312" w:eastAsia="仿宋_GB2312" w:cs="仿宋_GB2312"/>
          <w:color w:val="000000"/>
          <w:sz w:val="32"/>
          <w:szCs w:val="32"/>
        </w:rPr>
        <w:t>“后进”等次。</w:t>
      </w:r>
    </w:p>
    <w:p>
      <w:pPr>
        <w:snapToGrid w:val="0"/>
        <w:spacing w:line="580" w:lineRule="exact"/>
        <w:ind w:right="-126" w:rightChars="-6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各有关高校党委于2018年12月7日前，将考核报告、五星党支部推荐汇总表（附件3）、评级定星情况汇总表（附件4）纸版（一式一份，加盖校党委公章）报省委教育工委，同时将电子版报指定邮箱。 </w:t>
      </w:r>
    </w:p>
    <w:p>
      <w:pPr>
        <w:snapToGrid w:val="0"/>
        <w:spacing w:line="580" w:lineRule="exact"/>
        <w:ind w:right="-126" w:rightChars="-60" w:firstLine="640" w:firstLineChars="200"/>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（三）跟踪管理（长期）。</w:t>
      </w:r>
      <w:r>
        <w:rPr>
          <w:rFonts w:hint="eastAsia" w:ascii="仿宋_GB2312" w:hAnsi="仿宋_GB2312" w:eastAsia="仿宋_GB2312" w:cs="仿宋_GB2312"/>
          <w:color w:val="000000"/>
          <w:kern w:val="0"/>
          <w:sz w:val="32"/>
          <w:szCs w:val="32"/>
        </w:rPr>
        <w:t>各有关高校党委要坚持边开展活动边改进提升，按照巩固先进、推动一般、整顿后进的要求，对先进的党支部重在巩固提高、高位求进，打造示范品牌；对一般的党支部重在查漏补缺、比学赶超，推动全面提升；对后进的党支部，重在抓问题整改、补齐短板，有针对性地确定改进提升方案和措施，推动整顿提升。各有关高校党委改进提升方案于2018年12月7日前，报省委教育工委。</w:t>
      </w:r>
    </w:p>
    <w:p>
      <w:pPr>
        <w:snapToGrid w:val="0"/>
        <w:spacing w:line="580" w:lineRule="exact"/>
        <w:ind w:right="-126" w:rightChars="-60"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五、有关要求</w:t>
      </w:r>
    </w:p>
    <w:p>
      <w:pPr>
        <w:snapToGrid w:val="0"/>
        <w:spacing w:line="580" w:lineRule="exact"/>
        <w:ind w:right="-126" w:rightChars="-6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各有关高校要精心组织、周密部署，制定具体工作方案，组织专门力量，抓好达标创星工作。要建立健全创先评星动态调整机制，按照“优进劣退、有进有出”的原则，及时进行调整。要建立激励约束机制，将评定结果与绩效奖励、评先评优挂钩，鼓励有条件的学校，对获得“先进”等次的党支部给予一定的工作经费奖励。对不符合达标创星基本标准的党支部，不得参评各类评先评优，党组织书记不得推荐为“两代表一委员”及劳动模范等各类先进人物人选。</w:t>
      </w:r>
    </w:p>
    <w:p>
      <w:pPr>
        <w:snapToGrid w:val="0"/>
        <w:spacing w:line="580" w:lineRule="exact"/>
        <w:ind w:right="-126" w:rightChars="-6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注重把达标创星活动与高校党组织“十百千万”工程有机结合起来，与为基层办实事解难题结合起来，通过强化“六个基本”建设，进一步增强基层党支部组织力，为更好完成本校中心工作任务打牢组织基础。省高校党建工作样板支部原则上需从“先进”等次中产生，应为各高校达标创星考核结果靠前的党支部。</w:t>
      </w:r>
    </w:p>
    <w:p>
      <w:pPr>
        <w:snapToGrid w:val="0"/>
        <w:spacing w:line="580" w:lineRule="exact"/>
        <w:ind w:right="-126" w:rightChars="-6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加强舆论宣传，大力选树培育先进典型，及时总结推广基层成功经验和有效做法，充分发挥先进典型的示范引领作用，不断激发基层党组织的主观能动性，努力形成你追我赶、争星晋级的生动局面。各有关高校要及时将活动开展有关情况报省委教育工委。</w:t>
      </w:r>
    </w:p>
    <w:p>
      <w:pPr>
        <w:snapToGrid w:val="0"/>
        <w:spacing w:line="580" w:lineRule="exact"/>
        <w:ind w:right="-126" w:rightChars="-6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联系人：林舒，电话：0591-87871320，电子邮箱：swjygwzzc@126.com，地址：福州市鼓楼区鼓屏路162号省委教育工委组织处（邮编：350003）。</w:t>
      </w:r>
    </w:p>
    <w:p>
      <w:pPr>
        <w:snapToGrid w:val="0"/>
        <w:spacing w:line="580" w:lineRule="exact"/>
        <w:ind w:right="-126" w:rightChars="-60" w:firstLine="640" w:firstLineChars="200"/>
        <w:rPr>
          <w:rFonts w:hint="eastAsia" w:ascii="Times New Roman" w:hAnsi="Times New Roman" w:eastAsia="仿宋_GB2312" w:cs="Times New Roman"/>
          <w:color w:val="000000"/>
          <w:sz w:val="32"/>
          <w:szCs w:val="32"/>
        </w:rPr>
      </w:pPr>
    </w:p>
    <w:p>
      <w:pPr>
        <w:snapToGrid w:val="0"/>
        <w:spacing w:line="580" w:lineRule="exact"/>
        <w:ind w:firstLine="640" w:firstLineChars="200"/>
        <w:rPr>
          <w:rFonts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rPr>
        <w:t>附件：</w:t>
      </w:r>
      <w:r>
        <w:rPr>
          <w:rFonts w:hint="eastAsia" w:ascii="仿宋_GB2312" w:hAnsi="仿宋_GB2312" w:eastAsia="仿宋_GB2312" w:cs="仿宋_GB2312"/>
          <w:color w:val="000000"/>
          <w:sz w:val="32"/>
          <w:szCs w:val="32"/>
        </w:rPr>
        <w:t>1.高校基层党支部达标创星标准及评分规则</w:t>
      </w:r>
    </w:p>
    <w:p>
      <w:pPr>
        <w:snapToGrid w:val="0"/>
        <w:spacing w:line="58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2.高校基层党支部达标创星工作台帐</w:t>
      </w:r>
    </w:p>
    <w:p>
      <w:pPr>
        <w:snapToGrid w:val="0"/>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3.高校</w:t>
      </w:r>
      <w:r>
        <w:rPr>
          <w:rFonts w:hint="eastAsia" w:ascii="Times New Roman" w:hAnsi="Times New Roman" w:eastAsia="仿宋_GB2312" w:cs="Times New Roman"/>
          <w:color w:val="000000"/>
          <w:sz w:val="32"/>
          <w:szCs w:val="32"/>
        </w:rPr>
        <w:t>五星党支部推荐</w:t>
      </w:r>
      <w:r>
        <w:rPr>
          <w:rFonts w:hint="eastAsia" w:ascii="仿宋_GB2312" w:hAnsi="仿宋_GB2312" w:eastAsia="仿宋_GB2312" w:cs="仿宋_GB2312"/>
          <w:color w:val="000000"/>
          <w:sz w:val="32"/>
          <w:szCs w:val="32"/>
        </w:rPr>
        <w:t>汇总表</w:t>
      </w:r>
    </w:p>
    <w:p>
      <w:pPr>
        <w:snapToGrid w:val="0"/>
        <w:spacing w:line="58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4.高校基层党支部评级定星情况汇总表</w:t>
      </w:r>
    </w:p>
    <w:p>
      <w:pPr>
        <w:snapToGrid w:val="0"/>
        <w:spacing w:line="580" w:lineRule="exact"/>
        <w:ind w:firstLine="640"/>
        <w:rPr>
          <w:rFonts w:hint="eastAsia" w:ascii="仿宋_GB2312" w:hAnsi="仿宋_GB2312" w:eastAsia="仿宋_GB2312" w:cs="仿宋_GB2312"/>
          <w:color w:val="000000"/>
          <w:sz w:val="32"/>
          <w:szCs w:val="32"/>
        </w:rPr>
      </w:pPr>
    </w:p>
    <w:p>
      <w:pPr>
        <w:snapToGrid w:val="0"/>
        <w:spacing w:line="580" w:lineRule="exact"/>
        <w:ind w:right="118" w:firstLine="600"/>
        <w:jc w:val="right"/>
        <w:rPr>
          <w:rFonts w:hint="eastAsia" w:ascii="仿宋_GB2312" w:hAnsi="Times New Roman" w:eastAsia="仿宋_GB2312" w:cs="Times New Roman"/>
          <w:color w:val="000000"/>
          <w:sz w:val="32"/>
          <w:szCs w:val="32"/>
        </w:rPr>
      </w:pPr>
    </w:p>
    <w:p>
      <w:pPr>
        <w:snapToGrid w:val="0"/>
        <w:spacing w:line="580" w:lineRule="exact"/>
        <w:ind w:right="640" w:firstLine="3840" w:firstLineChars="1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中共福建省委教育工委</w:t>
      </w:r>
    </w:p>
    <w:p>
      <w:pPr>
        <w:snapToGrid w:val="0"/>
        <w:spacing w:line="580" w:lineRule="exact"/>
        <w:ind w:firstLine="601"/>
        <w:jc w:val="center"/>
        <w:rPr>
          <w:rFonts w:hint="eastAsia" w:ascii="仿宋_GB2312" w:hAnsi="Times New Roman" w:eastAsia="仿宋_GB2312" w:cs="楷体_GB2312"/>
          <w:kern w:val="0"/>
          <w:sz w:val="32"/>
          <w:szCs w:val="32"/>
          <w:lang w:val="zh-CN"/>
        </w:rPr>
      </w:pPr>
      <w:r>
        <w:rPr>
          <w:rFonts w:hint="eastAsia" w:ascii="仿宋_GB2312" w:hAnsi="Times New Roman" w:eastAsia="仿宋_GB2312" w:cs="Times New Roman"/>
          <w:color w:val="000000"/>
          <w:sz w:val="32"/>
          <w:szCs w:val="32"/>
        </w:rPr>
        <w:t xml:space="preserve">                2018年8月9日</w:t>
      </w:r>
    </w:p>
    <w:p>
      <w:pPr>
        <w:widowControl/>
        <w:spacing w:beforeAutospacing="1" w:afterAutospacing="1"/>
        <w:jc w:val="left"/>
        <w:rPr>
          <w:rFonts w:ascii="黑体" w:hAnsi="黑体" w:eastAsia="黑体" w:cs="黑体"/>
          <w:color w:val="000000"/>
          <w:sz w:val="32"/>
          <w:szCs w:val="32"/>
        </w:rPr>
        <w:sectPr>
          <w:pgSz w:w="11906" w:h="16838"/>
          <w:pgMar w:top="1440" w:right="1800" w:bottom="1440" w:left="1800" w:header="851" w:footer="992" w:gutter="0"/>
          <w:cols w:space="720" w:num="1"/>
          <w:docGrid w:type="lines" w:linePitch="312" w:charSpace="0"/>
        </w:sectPr>
      </w:pPr>
    </w:p>
    <w:p>
      <w:pPr>
        <w:snapToGrid w:val="0"/>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napToGrid w:val="0"/>
        <w:spacing w:line="40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高校基层党支部达标创星标准及评分规则</w:t>
      </w:r>
    </w:p>
    <w:p>
      <w:pPr>
        <w:snapToGrid w:val="0"/>
        <w:spacing w:line="400" w:lineRule="exact"/>
        <w:jc w:val="center"/>
        <w:rPr>
          <w:rFonts w:hint="eastAsia" w:ascii="方正小标宋简体" w:hAnsi="Times New Roman" w:eastAsia="方正小标宋简体" w:cs="Times New Roman"/>
          <w:sz w:val="36"/>
          <w:szCs w:val="36"/>
        </w:rPr>
      </w:pPr>
    </w:p>
    <w:tbl>
      <w:tblPr>
        <w:tblStyle w:val="6"/>
        <w:tblW w:w="870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6847"/>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blHeader/>
        </w:trPr>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Times New Roman" w:eastAsia="楷体_GB2312" w:cs="Times New Roman"/>
                <w:b/>
                <w:bCs/>
                <w:kern w:val="0"/>
                <w:sz w:val="28"/>
                <w:szCs w:val="28"/>
              </w:rPr>
            </w:pPr>
            <w:r>
              <w:rPr>
                <w:rFonts w:hint="eastAsia" w:ascii="宋体" w:hAnsi="宋体" w:eastAsia="宋体" w:cs="宋体"/>
                <w:b/>
                <w:bCs/>
                <w:kern w:val="0"/>
                <w:sz w:val="20"/>
                <w:szCs w:val="21"/>
              </w:rPr>
              <w:t>项目</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Times New Roman" w:eastAsia="楷体_GB2312" w:cs="Times New Roman"/>
                <w:b/>
                <w:bCs/>
                <w:kern w:val="0"/>
                <w:sz w:val="28"/>
                <w:szCs w:val="28"/>
              </w:rPr>
            </w:pPr>
            <w:r>
              <w:rPr>
                <w:rFonts w:hint="eastAsia" w:ascii="宋体" w:hAnsi="宋体" w:eastAsia="宋体" w:cs="宋体"/>
                <w:b/>
                <w:bCs/>
                <w:kern w:val="0"/>
                <w:sz w:val="20"/>
                <w:szCs w:val="21"/>
              </w:rPr>
              <w:t>标  准  及  要  求</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0"/>
                <w:szCs w:val="21"/>
              </w:rPr>
            </w:pPr>
            <w:r>
              <w:rPr>
                <w:rFonts w:hint="eastAsia" w:ascii="宋体" w:hAnsi="宋体" w:eastAsia="宋体" w:cs="宋体"/>
                <w:b/>
                <w:bCs/>
                <w:kern w:val="0"/>
                <w:sz w:val="2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基本</w:t>
            </w:r>
          </w:p>
          <w:p>
            <w:pPr>
              <w:widowControl/>
              <w:spacing w:line="230" w:lineRule="exact"/>
              <w:jc w:val="center"/>
              <w:rPr>
                <w:rFonts w:hint="eastAsia" w:ascii="宋体" w:hAnsi="宋体" w:eastAsia="宋体" w:cs="宋体"/>
                <w:kern w:val="0"/>
                <w:szCs w:val="21"/>
              </w:rPr>
            </w:pPr>
            <w:r>
              <w:rPr>
                <w:rFonts w:hint="eastAsia" w:ascii="宋体" w:hAnsi="宋体" w:eastAsia="宋体" w:cs="宋体"/>
                <w:kern w:val="0"/>
                <w:szCs w:val="21"/>
              </w:rPr>
              <w:t>组织</w:t>
            </w:r>
          </w:p>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（13分）</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规范党组织设置，人数较多的党支部应按规定及时升格为党委、党总支，并根据实际合理划分党小组，能够按期进行换届选举。</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党组织隶属关系、党员组织关系明确、规范，按规定做好党员党组织关系接转、流动党员和出国境党员管理。</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建立规范的党建工作管理台账，做到党员基本情况、入党积极分子等基本情况清楚。</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基本</w:t>
            </w:r>
          </w:p>
          <w:p>
            <w:pPr>
              <w:widowControl/>
              <w:spacing w:line="230" w:lineRule="exact"/>
              <w:jc w:val="center"/>
              <w:rPr>
                <w:rFonts w:hint="eastAsia" w:ascii="宋体" w:hAnsi="宋体" w:eastAsia="宋体" w:cs="宋体"/>
                <w:kern w:val="0"/>
                <w:szCs w:val="21"/>
              </w:rPr>
            </w:pPr>
            <w:r>
              <w:rPr>
                <w:rFonts w:hint="eastAsia" w:ascii="宋体" w:hAnsi="宋体" w:eastAsia="宋体" w:cs="宋体"/>
                <w:kern w:val="0"/>
                <w:szCs w:val="21"/>
              </w:rPr>
              <w:t>队伍</w:t>
            </w:r>
          </w:p>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（15分）</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选优配强党支部书记，党支部书记党性强、业务精、有威信、肯奉献，实施教师党支部书记“双带头人”培育工程，注重从优秀辅导员、优秀大学生党员中选拔学生党支部书记。</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党支部班子配备合理、团结协调，在党员和师生中有凝聚力和影响力。</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配齐配强专兼职党务工作人员，数量充足、业务熟悉、结构合理。</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党员发展台账及党员档案完整，党员发展工作能按计划完成。坚持党员发展标准，严格党员发展程序，注重政治合格，端正师生入党动机。教师党支部推行“双培养”，积极团结凝聚高层次人才、优秀青年教师、海外留学归国教师，符合条件的及时吸收入党。学生党支部将“推荐优秀团员作为入党积极分子人选”作为重要渠道，严把“质量关”，重视发展少数民族学生入党。</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加强党员教育管理监督服务，经常性地组织党员培训，定期开展党员考核评价。</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基本</w:t>
            </w:r>
          </w:p>
          <w:p>
            <w:pPr>
              <w:widowControl/>
              <w:spacing w:line="230" w:lineRule="exact"/>
              <w:jc w:val="center"/>
              <w:rPr>
                <w:rFonts w:hint="eastAsia" w:ascii="宋体" w:hAnsi="宋体" w:eastAsia="宋体" w:cs="宋体"/>
                <w:kern w:val="0"/>
                <w:szCs w:val="21"/>
              </w:rPr>
            </w:pPr>
            <w:r>
              <w:rPr>
                <w:rFonts w:hint="eastAsia" w:ascii="宋体" w:hAnsi="宋体" w:eastAsia="宋体" w:cs="宋体"/>
                <w:kern w:val="0"/>
                <w:szCs w:val="21"/>
              </w:rPr>
              <w:t>活动</w:t>
            </w:r>
          </w:p>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（20分）</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以推进“两学一做”常态化制度化为抓手，深入开展“不忘初心、牢记使命”主题教育，组织党员深入学习贯彻习近平新时代中国特色社会主义思想和党的十九大精神，学习宣传形式生动，成效好。</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经常开展师德师风教育活动，每位教师每年参加师德学习教育不少于10个学时，实行师德“一票否决制”。</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组织开展党支部立项活动，持续开展“书记好党课、党员好故事、支部好案例”创建活动。</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推动教师党支部之间、教师党支部与学生党支部之间、教师党支部与校外党支部之间开展“共建共创”活动。</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定期开展支部主题党日活动，组织党员集中学习、过组织生活、进行民主议事、开展志愿服务等活动。</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基本</w:t>
            </w:r>
          </w:p>
          <w:p>
            <w:pPr>
              <w:widowControl/>
              <w:spacing w:line="230" w:lineRule="exact"/>
              <w:jc w:val="center"/>
              <w:rPr>
                <w:rFonts w:hint="eastAsia" w:ascii="宋体" w:hAnsi="宋体" w:eastAsia="宋体" w:cs="宋体"/>
                <w:kern w:val="0"/>
                <w:szCs w:val="21"/>
              </w:rPr>
            </w:pPr>
            <w:r>
              <w:rPr>
                <w:rFonts w:hint="eastAsia" w:ascii="宋体" w:hAnsi="宋体" w:eastAsia="宋体" w:cs="宋体"/>
                <w:kern w:val="0"/>
                <w:szCs w:val="21"/>
              </w:rPr>
              <w:t>作用</w:t>
            </w:r>
          </w:p>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（20分）</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积极开展争创先进党组织、优秀党员活动，设立党员“责任区”“先锋岗”，组织党员开展“党员突击队”“党员示范岗”“党员志愿服务队”等，教育引导师生党员在日常教学科研生活中亮出党员身份、立起先进标尺、树立先锋形象。</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加强校园文化建设，巩固马克思主义在高校意识形态领域的指导地位，有效防止各类错误思想文化侵蚀，教育引导师生在课堂教学、论坛讲座等活动中坚持正确的政治立场、政治方向、政治原则、政治道路。</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引领带动师生积极投身学校改革发展、维护学校和谐稳定。教师党支部团结带领广大教师落实立德树人根本任务，不断提高人才培养质量；学生党支部积极参与班级、年级、学生组织管理工作，引领优良班风学风校风建设，推进社会主义核心价值观培育践行。</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联系帮扶、关心关爱困难教师和学生</w:t>
            </w:r>
            <w:r>
              <w:rPr>
                <w:rFonts w:hint="eastAsia" w:ascii="Times New Roman" w:hAnsi="Times New Roman" w:eastAsia="宋体" w:cs="Times New Roman"/>
                <w:kern w:val="0"/>
                <w:szCs w:val="21"/>
              </w:rPr>
              <w:t>，帮助解决工作生活中的困难和问题，使他们感受到党组织的温暖。</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把社会主义核心价值观培育践行贯穿师生专业课实践教学、社会实践活动、创新创业教育、志愿服务等过程，积极开展社会公益等活动，履行社会责任。</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坚持以支部党的建设带动所在单位共青团、工会等群团组织建设，加强党建带群建、群建促党建。</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基本</w:t>
            </w:r>
          </w:p>
          <w:p>
            <w:pPr>
              <w:widowControl/>
              <w:spacing w:line="230" w:lineRule="exact"/>
              <w:jc w:val="center"/>
              <w:rPr>
                <w:rFonts w:hint="eastAsia" w:ascii="宋体" w:hAnsi="宋体" w:eastAsia="宋体" w:cs="宋体"/>
                <w:kern w:val="0"/>
                <w:szCs w:val="21"/>
              </w:rPr>
            </w:pPr>
            <w:r>
              <w:rPr>
                <w:rFonts w:hint="eastAsia" w:ascii="宋体" w:hAnsi="宋体" w:eastAsia="宋体" w:cs="宋体"/>
                <w:kern w:val="0"/>
                <w:szCs w:val="21"/>
              </w:rPr>
              <w:t>制度</w:t>
            </w:r>
          </w:p>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（20分）</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认真落实党员发展教育管理监督、党费收缴使用、党务政务公开、党风廉政建设、党组织书记抓基层党建述职评议等制度并规范运行。</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建立党组织参与决策和监督、有效发挥作用的制度机制，健全议事决策制度、沟通协调机制。</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严格规范“三会一课”、组织生活会、谈心谈话、民主评议党员等党的组织生活制度，积极创新方式方法。每年至少召开1次组织生活会、1次民主评议党员。党支部委员之间、党支部委员和党员之间、党员和党员之间，每年谈心谈话一般不少于1次。</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每学期末向上级党组织报告1次支部工作，每年向支部党员大会报告工作情况，党员每年向党支部汇报1次学习、思想和工作情况。</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建立党员与师生结对制度，鼓励党员学术带头人与青年教职工结对子，党员与学业优秀的学生结对子，发挥“学术导师”和“政治导师”作用，引导他们主动向党组织靠拢，为党员队伍注入新动力。</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健全党内激励、关怀、帮扶机制，进一步激励党员新时代新担当新作为，把解决思想问题和解决实际问题相结合，积极开展服务、帮扶、慰问等活动。</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trPr>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基本</w:t>
            </w:r>
          </w:p>
          <w:p>
            <w:pPr>
              <w:widowControl/>
              <w:spacing w:line="230" w:lineRule="exact"/>
              <w:jc w:val="center"/>
              <w:rPr>
                <w:rFonts w:hint="eastAsia" w:ascii="宋体" w:hAnsi="宋体" w:eastAsia="宋体" w:cs="宋体"/>
                <w:kern w:val="0"/>
                <w:szCs w:val="21"/>
              </w:rPr>
            </w:pPr>
            <w:r>
              <w:rPr>
                <w:rFonts w:hint="eastAsia" w:ascii="宋体" w:hAnsi="宋体" w:eastAsia="宋体" w:cs="宋体"/>
                <w:kern w:val="0"/>
                <w:szCs w:val="21"/>
              </w:rPr>
              <w:t>保障</w:t>
            </w:r>
          </w:p>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（12分）</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加强对党建工作各类经费的管理使用，建立管理使用办法，并严格执行。</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专职党务工作人员比照学校同级行政管理人员落实相关待遇，兼职党务工作者应计算工作量。</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blHeader/>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规范建设党建工作阵地，有党员活动室、会议室，活动场所布置规范，面积能够满足全体党员学习、会议等需要。</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30" w:lineRule="exact"/>
              <w:jc w:val="center"/>
              <w:rPr>
                <w:rFonts w:ascii="宋体" w:hAnsi="宋体" w:eastAsia="宋体" w:cs="宋体"/>
                <w:kern w:val="0"/>
                <w:szCs w:val="21"/>
              </w:rPr>
            </w:pPr>
            <w:r>
              <w:rPr>
                <w:rFonts w:hint="eastAsia" w:ascii="宋体" w:hAnsi="宋体" w:eastAsia="宋体" w:cs="宋体"/>
                <w:kern w:val="0"/>
                <w:szCs w:val="21"/>
              </w:rPr>
              <w:t>3分</w:t>
            </w:r>
          </w:p>
        </w:tc>
      </w:tr>
    </w:tbl>
    <w:p>
      <w:pPr>
        <w:snapToGrid w:val="0"/>
        <w:rPr>
          <w:rFonts w:hint="eastAsia" w:ascii="Times New Roman" w:hAnsi="Times New Roman" w:eastAsia="仿宋_GB2312" w:cs="Times New Roman"/>
          <w:color w:val="000000"/>
          <w:sz w:val="32"/>
          <w:szCs w:val="32"/>
        </w:rPr>
      </w:pPr>
    </w:p>
    <w:p>
      <w:pPr>
        <w:widowControl/>
        <w:spacing w:beforeAutospacing="1" w:afterAutospacing="1"/>
        <w:jc w:val="left"/>
        <w:rPr>
          <w:rFonts w:ascii="Times New Roman" w:hAnsi="Times New Roman" w:eastAsia="仿宋_GB2312" w:cs="Times New Roman"/>
          <w:color w:val="000000"/>
          <w:sz w:val="32"/>
          <w:szCs w:val="32"/>
        </w:rPr>
        <w:sectPr>
          <w:pgSz w:w="11906" w:h="16838"/>
          <w:pgMar w:top="1440" w:right="1800" w:bottom="1440" w:left="1800" w:header="851" w:footer="992" w:gutter="0"/>
          <w:cols w:space="720" w:num="1"/>
          <w:docGrid w:type="lines" w:linePitch="312" w:charSpace="0"/>
        </w:sectPr>
      </w:pPr>
    </w:p>
    <w:p>
      <w:pPr>
        <w:snapToGrid w:val="0"/>
        <w:rPr>
          <w:rFonts w:ascii="黑体" w:hAnsi="黑体" w:eastAsia="黑体" w:cs="黑体"/>
          <w:color w:val="000000"/>
          <w:sz w:val="32"/>
          <w:szCs w:val="32"/>
        </w:rPr>
      </w:pPr>
      <w:r>
        <w:rPr>
          <w:rFonts w:hint="eastAsia" w:ascii="黑体" w:hAnsi="黑体" w:eastAsia="黑体" w:cs="黑体"/>
          <w:color w:val="000000"/>
          <w:sz w:val="32"/>
          <w:szCs w:val="32"/>
        </w:rPr>
        <w:t>附件2</w:t>
      </w:r>
    </w:p>
    <w:p>
      <w:pPr>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高校基层党支部达标创星工作台账</w:t>
      </w:r>
    </w:p>
    <w:p>
      <w:pPr>
        <w:snapToGrid w:val="0"/>
        <w:rPr>
          <w:rFonts w:hint="eastAsia" w:ascii="宋体" w:hAnsi="宋体" w:eastAsia="宋体" w:cs="宋体"/>
          <w:color w:val="000000"/>
          <w:sz w:val="24"/>
        </w:rPr>
      </w:pPr>
      <w:r>
        <w:rPr>
          <w:rFonts w:hint="eastAsia" w:ascii="宋体" w:hAnsi="宋体" w:eastAsia="宋体" w:cs="宋体"/>
          <w:color w:val="000000"/>
          <w:sz w:val="24"/>
        </w:rPr>
        <w:t>填报单位：                                                                          截止时间：</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827"/>
        <w:gridCol w:w="1205"/>
        <w:gridCol w:w="1493"/>
        <w:gridCol w:w="3433"/>
        <w:gridCol w:w="1113"/>
        <w:gridCol w:w="172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89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282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党组织名称</w:t>
            </w:r>
          </w:p>
        </w:tc>
        <w:tc>
          <w:tcPr>
            <w:tcW w:w="26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有关情况</w:t>
            </w:r>
          </w:p>
        </w:tc>
        <w:tc>
          <w:tcPr>
            <w:tcW w:w="343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存在的主要问题</w:t>
            </w:r>
          </w:p>
        </w:tc>
        <w:tc>
          <w:tcPr>
            <w:tcW w:w="2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党组织负责人</w:t>
            </w:r>
          </w:p>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及联系方式</w:t>
            </w:r>
          </w:p>
        </w:tc>
        <w:tc>
          <w:tcPr>
            <w:tcW w:w="148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2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党员</w:t>
            </w:r>
          </w:p>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人数</w:t>
            </w:r>
          </w:p>
        </w:tc>
        <w:tc>
          <w:tcPr>
            <w:tcW w:w="14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干部职工</w:t>
            </w:r>
          </w:p>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人数</w:t>
            </w:r>
          </w:p>
        </w:tc>
        <w:tc>
          <w:tcPr>
            <w:tcW w:w="3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姓名</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手机</w:t>
            </w: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28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34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28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34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28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34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28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34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28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34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28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34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28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34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28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34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p>
        </w:tc>
      </w:tr>
    </w:tbl>
    <w:p>
      <w:pPr>
        <w:snapToGrid w:val="0"/>
        <w:rPr>
          <w:rFonts w:hint="eastAsia" w:ascii="Times New Roman" w:hAnsi="Times New Roman" w:eastAsia="仿宋_GB2312" w:cs="Times New Roman"/>
          <w:color w:val="000000"/>
          <w:sz w:val="32"/>
          <w:szCs w:val="32"/>
        </w:rPr>
      </w:pPr>
      <w:r>
        <w:rPr>
          <w:rFonts w:hint="eastAsia" w:ascii="宋体" w:hAnsi="宋体" w:eastAsia="宋体" w:cs="宋体"/>
          <w:color w:val="000000"/>
          <w:sz w:val="18"/>
          <w:szCs w:val="18"/>
        </w:rPr>
        <w:t>备注：存在的问题一栏要注意对照“六个基本”建设要求进行查摆。</w:t>
      </w:r>
    </w:p>
    <w:p>
      <w:pPr>
        <w:widowControl/>
        <w:spacing w:beforeAutospacing="1" w:afterAutospacing="1"/>
        <w:jc w:val="left"/>
        <w:rPr>
          <w:rFonts w:ascii="黑体" w:hAnsi="黑体" w:eastAsia="黑体" w:cs="黑体"/>
          <w:color w:val="000000"/>
          <w:sz w:val="32"/>
          <w:szCs w:val="32"/>
        </w:rPr>
        <w:sectPr>
          <w:pgSz w:w="16838" w:h="11906" w:orient="landscape"/>
          <w:pgMar w:top="1800" w:right="1440" w:bottom="1800" w:left="1440" w:header="851" w:footer="992" w:gutter="0"/>
          <w:cols w:space="720" w:num="1"/>
          <w:docGrid w:type="lines" w:linePitch="312" w:charSpace="0"/>
        </w:sectPr>
      </w:pPr>
    </w:p>
    <w:p>
      <w:pPr>
        <w:snapToGrid w:val="0"/>
        <w:rPr>
          <w:rFonts w:ascii="黑体" w:hAnsi="黑体" w:eastAsia="黑体" w:cs="黑体"/>
          <w:color w:val="000000"/>
          <w:sz w:val="32"/>
          <w:szCs w:val="32"/>
        </w:rPr>
      </w:pPr>
      <w:r>
        <w:rPr>
          <w:rFonts w:hint="eastAsia" w:ascii="黑体" w:hAnsi="黑体" w:eastAsia="黑体" w:cs="黑体"/>
          <w:color w:val="000000"/>
          <w:sz w:val="32"/>
          <w:szCs w:val="32"/>
        </w:rPr>
        <w:t>附件3</w:t>
      </w:r>
    </w:p>
    <w:p>
      <w:pPr>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高校五星党支部推荐汇总表</w:t>
      </w:r>
    </w:p>
    <w:p>
      <w:pPr>
        <w:snapToGrid w:val="0"/>
        <w:rPr>
          <w:rFonts w:hint="eastAsia" w:ascii="宋体" w:hAnsi="宋体" w:eastAsia="宋体" w:cs="宋体"/>
          <w:color w:val="000000"/>
          <w:sz w:val="24"/>
        </w:rPr>
      </w:pPr>
      <w:r>
        <w:rPr>
          <w:rFonts w:hint="eastAsia" w:ascii="宋体" w:hAnsi="宋体" w:eastAsia="宋体" w:cs="宋体"/>
          <w:color w:val="000000"/>
          <w:sz w:val="24"/>
        </w:rPr>
        <w:t>填报单位：                                                                          截止时间：</w:t>
      </w:r>
    </w:p>
    <w:tbl>
      <w:tblPr>
        <w:tblStyle w:val="6"/>
        <w:tblW w:w="1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61"/>
        <w:gridCol w:w="4044"/>
        <w:gridCol w:w="3833"/>
        <w:gridCol w:w="124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 w:val="32"/>
                <w:szCs w:val="32"/>
              </w:rPr>
            </w:pPr>
            <w:r>
              <w:rPr>
                <w:rFonts w:hint="eastAsia" w:ascii="宋体" w:hAnsi="宋体" w:eastAsia="宋体" w:cs="宋体"/>
                <w:color w:val="000000"/>
                <w:kern w:val="0"/>
                <w:sz w:val="24"/>
              </w:rPr>
              <w:t>党组织名称</w:t>
            </w:r>
          </w:p>
        </w:tc>
        <w:tc>
          <w:tcPr>
            <w:tcW w:w="40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主要成效</w:t>
            </w:r>
          </w:p>
        </w:tc>
        <w:tc>
          <w:tcPr>
            <w:tcW w:w="38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存在问题</w:t>
            </w:r>
          </w:p>
        </w:tc>
        <w:tc>
          <w:tcPr>
            <w:tcW w:w="12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得分</w:t>
            </w:r>
          </w:p>
        </w:tc>
        <w:tc>
          <w:tcPr>
            <w:tcW w:w="17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2361"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4044"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3833"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24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2361"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4044"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3833"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24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2361"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4044"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3833"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24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2361"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4044"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3833"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24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2361"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4044"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3833"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24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2361"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4044"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3833"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24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2361"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4044"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3833"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24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2361"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4044"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3833"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24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_GB2312" w:cs="Times New Roman"/>
                <w:color w:val="000000"/>
                <w:kern w:val="0"/>
                <w:sz w:val="32"/>
                <w:szCs w:val="32"/>
              </w:rPr>
            </w:pPr>
          </w:p>
        </w:tc>
      </w:tr>
    </w:tbl>
    <w:p>
      <w:pPr>
        <w:snapToGrid w:val="0"/>
        <w:spacing w:line="3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备注:按得分高低顺序排列。</w:t>
      </w:r>
    </w:p>
    <w:p>
      <w:pPr>
        <w:snapToGrid w:val="0"/>
        <w:rPr>
          <w:rFonts w:hint="eastAsia" w:ascii="黑体" w:hAnsi="黑体" w:eastAsia="黑体" w:cs="黑体"/>
          <w:color w:val="000000"/>
          <w:sz w:val="32"/>
          <w:szCs w:val="32"/>
        </w:rPr>
      </w:pPr>
      <w:r>
        <w:rPr>
          <w:rFonts w:hint="eastAsia" w:ascii="黑体" w:hAnsi="黑体" w:eastAsia="黑体" w:cs="黑体"/>
          <w:color w:val="000000"/>
          <w:sz w:val="32"/>
          <w:szCs w:val="32"/>
        </w:rPr>
        <w:br w:type="page"/>
      </w:r>
      <w:r>
        <w:rPr>
          <w:rFonts w:hint="eastAsia" w:ascii="黑体" w:hAnsi="黑体" w:eastAsia="黑体" w:cs="黑体"/>
          <w:color w:val="000000"/>
          <w:sz w:val="32"/>
          <w:szCs w:val="32"/>
        </w:rPr>
        <w:t>附件4</w:t>
      </w:r>
    </w:p>
    <w:p>
      <w:pPr>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高校基层党支部评级定星情况汇总表</w:t>
      </w:r>
    </w:p>
    <w:p>
      <w:pPr>
        <w:snapToGrid w:val="0"/>
        <w:rPr>
          <w:rFonts w:hint="eastAsia" w:ascii="宋体" w:hAnsi="宋体" w:eastAsia="宋体" w:cs="宋体"/>
          <w:color w:val="000000"/>
          <w:sz w:val="24"/>
        </w:rPr>
      </w:pPr>
      <w:r>
        <w:rPr>
          <w:rFonts w:hint="eastAsia" w:ascii="宋体" w:hAnsi="宋体" w:eastAsia="宋体" w:cs="宋体"/>
          <w:color w:val="000000"/>
          <w:sz w:val="24"/>
        </w:rPr>
        <w:t>填报单位：                                                                          截止时间：</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002"/>
        <w:gridCol w:w="1002"/>
        <w:gridCol w:w="1002"/>
        <w:gridCol w:w="1002"/>
        <w:gridCol w:w="1001"/>
        <w:gridCol w:w="1002"/>
        <w:gridCol w:w="1002"/>
        <w:gridCol w:w="1002"/>
        <w:gridCol w:w="1002"/>
        <w:gridCol w:w="1001"/>
        <w:gridCol w:w="1003"/>
        <w:gridCol w:w="1005"/>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1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党组织</w:t>
            </w:r>
          </w:p>
          <w:p>
            <w:pPr>
              <w:jc w:val="center"/>
              <w:rPr>
                <w:rFonts w:ascii="Times New Roman" w:hAnsi="Times New Roman" w:eastAsia="宋体" w:cs="Times New Roman"/>
                <w:kern w:val="0"/>
                <w:sz w:val="24"/>
              </w:rPr>
            </w:pPr>
            <w:r>
              <w:rPr>
                <w:rFonts w:hint="eastAsia" w:ascii="宋体" w:hAnsi="宋体" w:eastAsia="宋体" w:cs="宋体"/>
                <w:color w:val="000000"/>
                <w:kern w:val="0"/>
                <w:sz w:val="24"/>
              </w:rPr>
              <w:t>总数</w:t>
            </w:r>
          </w:p>
        </w:tc>
        <w:tc>
          <w:tcPr>
            <w:tcW w:w="20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先进等次</w:t>
            </w:r>
          </w:p>
        </w:tc>
        <w:tc>
          <w:tcPr>
            <w:tcW w:w="20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一般等次</w:t>
            </w:r>
          </w:p>
        </w:tc>
        <w:tc>
          <w:tcPr>
            <w:tcW w:w="20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后进等次</w:t>
            </w:r>
          </w:p>
        </w:tc>
        <w:tc>
          <w:tcPr>
            <w:tcW w:w="20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五星称号</w:t>
            </w:r>
          </w:p>
        </w:tc>
        <w:tc>
          <w:tcPr>
            <w:tcW w:w="20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四星称号</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三星称号</w:t>
            </w:r>
          </w:p>
        </w:tc>
        <w:tc>
          <w:tcPr>
            <w:tcW w:w="10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宋体" w:hAnsi="宋体" w:eastAsia="宋体" w:cs="宋体"/>
                <w:color w:val="000000"/>
                <w:kern w:val="0"/>
                <w:sz w:val="24"/>
              </w:rPr>
              <w:t>党组织数</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宋体" w:hAnsi="宋体" w:eastAsia="宋体" w:cs="宋体"/>
                <w:color w:val="000000"/>
                <w:kern w:val="0"/>
                <w:sz w:val="24"/>
              </w:rPr>
              <w:t>占比</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宋体" w:hAnsi="宋体" w:eastAsia="宋体" w:cs="宋体"/>
                <w:color w:val="000000"/>
                <w:kern w:val="0"/>
                <w:sz w:val="24"/>
              </w:rPr>
              <w:t>党组织数</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宋体" w:hAnsi="宋体" w:eastAsia="宋体" w:cs="宋体"/>
                <w:color w:val="000000"/>
                <w:kern w:val="0"/>
                <w:sz w:val="24"/>
              </w:rPr>
              <w:t>占比</w:t>
            </w: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宋体" w:hAnsi="宋体" w:eastAsia="宋体" w:cs="宋体"/>
                <w:color w:val="000000"/>
                <w:kern w:val="0"/>
                <w:sz w:val="24"/>
              </w:rPr>
              <w:t>党组织数</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宋体" w:hAnsi="宋体" w:eastAsia="宋体" w:cs="宋体"/>
                <w:color w:val="000000"/>
                <w:kern w:val="0"/>
                <w:sz w:val="24"/>
              </w:rPr>
              <w:t>占比</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党组织数</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宋体" w:hAnsi="宋体" w:eastAsia="宋体" w:cs="宋体"/>
                <w:color w:val="000000"/>
                <w:kern w:val="0"/>
                <w:sz w:val="24"/>
              </w:rPr>
              <w:t>占比</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党组织数</w:t>
            </w: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宋体" w:hAnsi="宋体" w:eastAsia="宋体" w:cs="宋体"/>
                <w:color w:val="000000"/>
                <w:kern w:val="0"/>
                <w:sz w:val="24"/>
              </w:rPr>
              <w:t>占比</w:t>
            </w: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党组织数</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r>
              <w:rPr>
                <w:rFonts w:hint="eastAsia" w:ascii="宋体" w:hAnsi="宋体" w:eastAsia="宋体" w:cs="宋体"/>
                <w:color w:val="000000"/>
                <w:kern w:val="0"/>
                <w:sz w:val="24"/>
              </w:rPr>
              <w:t>占比</w:t>
            </w:r>
          </w:p>
        </w:tc>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4"/>
              </w:rPr>
            </w:pPr>
          </w:p>
        </w:tc>
      </w:tr>
    </w:tbl>
    <w:p>
      <w:pPr>
        <w:widowControl/>
        <w:spacing w:beforeAutospacing="1" w:afterAutospacing="1"/>
        <w:jc w:val="left"/>
        <w:rPr>
          <w:rFonts w:ascii="Times New Roman" w:hAnsi="Times New Roman" w:eastAsia="宋体" w:cs="Times New Roman"/>
        </w:rPr>
        <w:sectPr>
          <w:pgSz w:w="16838" w:h="11906" w:orient="landscape"/>
          <w:pgMar w:top="1800" w:right="1440" w:bottom="1800" w:left="1440" w:header="851" w:footer="992" w:gutter="0"/>
          <w:cols w:space="720" w:num="1"/>
          <w:docGrid w:type="lines" w:linePitch="312" w:charSpace="0"/>
        </w:sect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napToGrid w:val="0"/>
        <w:spacing w:line="580" w:lineRule="exact"/>
        <w:rPr>
          <w:rFonts w:hint="eastAsia" w:ascii="仿宋_GB2312" w:hAnsi="仿宋_GB2312" w:eastAsia="仿宋_GB2312" w:cs="仿宋_GB2312"/>
          <w:sz w:val="32"/>
          <w:szCs w:val="32"/>
        </w:rPr>
      </w:pPr>
    </w:p>
    <w:p>
      <w:pPr>
        <w:shd w:val="clear" w:color="auto" w:fill="FFFFFF"/>
        <w:snapToGrid w:val="0"/>
        <w:spacing w:line="400" w:lineRule="exact"/>
        <w:ind w:right="159"/>
        <w:rPr>
          <w:rFonts w:hint="eastAsia" w:ascii="微软雅黑" w:hAnsi="微软雅黑" w:eastAsia="仿宋_GB2312" w:cs="宋体"/>
          <w:sz w:val="32"/>
          <w:szCs w:val="32"/>
        </w:rPr>
      </w:pPr>
      <w:r>
        <w:rPr>
          <w:rFonts w:hint="eastAsia" w:ascii="微软雅黑" w:hAnsi="微软雅黑" w:eastAsia="仿宋_GB2312" w:cs="宋体"/>
          <w:sz w:val="32"/>
          <w:szCs w:val="32"/>
        </w:rPr>
        <w:t>（此件依申请公开）</w:t>
      </w:r>
    </w:p>
    <w:tbl>
      <w:tblPr>
        <w:tblStyle w:val="6"/>
        <w:tblW w:w="8522"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522" w:type="dxa"/>
            <w:tcBorders>
              <w:top w:val="single" w:color="auto" w:sz="12" w:space="0"/>
              <w:left w:val="nil"/>
              <w:bottom w:val="single" w:color="auto" w:sz="12" w:space="0"/>
              <w:right w:val="nil"/>
            </w:tcBorders>
          </w:tcPr>
          <w:p>
            <w:pPr>
              <w:ind w:right="-69" w:rightChars="-33"/>
              <w:rPr>
                <w:rFonts w:ascii="仿宋_GB2312" w:hAnsi="Times New Roman" w:eastAsia="仿宋_GB2312" w:cs="Times New Roman"/>
                <w:sz w:val="28"/>
                <w:szCs w:val="28"/>
              </w:rPr>
            </w:pPr>
            <w:r>
              <w:rPr>
                <w:rFonts w:hint="eastAsia" w:ascii="仿宋_GB2312" w:hAnsi="Times New Roman" w:eastAsia="仿宋_GB2312" w:cs="Times New Roman"/>
                <w:sz w:val="28"/>
                <w:szCs w:val="28"/>
              </w:rPr>
              <w:t>中共福建省委教育工委办公室                2018年8月9日印发</w:t>
            </w:r>
          </w:p>
        </w:tc>
      </w:tr>
    </w:tbl>
    <w:p>
      <w:pPr>
        <w:snapToGrid w:val="0"/>
        <w:spacing w:line="20" w:lineRule="exact"/>
        <w:rPr>
          <w:rFonts w:hint="eastAsia" w:ascii="仿宋_GB2312" w:hAnsi="仿宋_GB2312" w:eastAsia="仿宋_GB2312" w:cs="仿宋_GB2312"/>
          <w:sz w:val="10"/>
          <w:szCs w:val="10"/>
        </w:rPr>
      </w:pPr>
    </w:p>
    <w:p>
      <w:pPr>
        <w:snapToGrid w:val="0"/>
        <w:rPr>
          <w:rFonts w:hint="eastAsia" w:ascii="Times New Roman" w:hAnsi="Times New Roman"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B3"/>
    <w:rsid w:val="000004A9"/>
    <w:rsid w:val="00005FE8"/>
    <w:rsid w:val="00010EA7"/>
    <w:rsid w:val="0001538F"/>
    <w:rsid w:val="000238B1"/>
    <w:rsid w:val="000276A8"/>
    <w:rsid w:val="000377B3"/>
    <w:rsid w:val="00042E7D"/>
    <w:rsid w:val="00045005"/>
    <w:rsid w:val="00046291"/>
    <w:rsid w:val="00051659"/>
    <w:rsid w:val="00052051"/>
    <w:rsid w:val="000538AA"/>
    <w:rsid w:val="00054B0E"/>
    <w:rsid w:val="0005507C"/>
    <w:rsid w:val="00055D0E"/>
    <w:rsid w:val="00060D46"/>
    <w:rsid w:val="00062482"/>
    <w:rsid w:val="00065E96"/>
    <w:rsid w:val="00071378"/>
    <w:rsid w:val="00072D9F"/>
    <w:rsid w:val="00073AFC"/>
    <w:rsid w:val="00075B83"/>
    <w:rsid w:val="0008306E"/>
    <w:rsid w:val="000953E3"/>
    <w:rsid w:val="000A1CB4"/>
    <w:rsid w:val="000A21B1"/>
    <w:rsid w:val="000A2642"/>
    <w:rsid w:val="000A3AB0"/>
    <w:rsid w:val="000A4C0E"/>
    <w:rsid w:val="000C5429"/>
    <w:rsid w:val="000D07C0"/>
    <w:rsid w:val="000D1AD3"/>
    <w:rsid w:val="000D2DDA"/>
    <w:rsid w:val="000D6133"/>
    <w:rsid w:val="000F1D6D"/>
    <w:rsid w:val="000F2013"/>
    <w:rsid w:val="000F2912"/>
    <w:rsid w:val="000F79F5"/>
    <w:rsid w:val="00104C59"/>
    <w:rsid w:val="00106C0E"/>
    <w:rsid w:val="00107644"/>
    <w:rsid w:val="0012075C"/>
    <w:rsid w:val="00124A2D"/>
    <w:rsid w:val="001252D9"/>
    <w:rsid w:val="00132163"/>
    <w:rsid w:val="00133713"/>
    <w:rsid w:val="00157BEF"/>
    <w:rsid w:val="001814FB"/>
    <w:rsid w:val="001934C8"/>
    <w:rsid w:val="001949E8"/>
    <w:rsid w:val="0019540B"/>
    <w:rsid w:val="001A5EF6"/>
    <w:rsid w:val="001B023B"/>
    <w:rsid w:val="001B1AFD"/>
    <w:rsid w:val="001B1EAF"/>
    <w:rsid w:val="001B496C"/>
    <w:rsid w:val="001C4C36"/>
    <w:rsid w:val="001D3F68"/>
    <w:rsid w:val="001E2AB8"/>
    <w:rsid w:val="001E6B40"/>
    <w:rsid w:val="001F234C"/>
    <w:rsid w:val="001F49A1"/>
    <w:rsid w:val="001F4CA9"/>
    <w:rsid w:val="001F60F9"/>
    <w:rsid w:val="001F7E16"/>
    <w:rsid w:val="00206B88"/>
    <w:rsid w:val="0020725D"/>
    <w:rsid w:val="0022151C"/>
    <w:rsid w:val="00237F8C"/>
    <w:rsid w:val="00242DBA"/>
    <w:rsid w:val="00246272"/>
    <w:rsid w:val="0025778B"/>
    <w:rsid w:val="00274FFD"/>
    <w:rsid w:val="00276672"/>
    <w:rsid w:val="00281D2B"/>
    <w:rsid w:val="00283E55"/>
    <w:rsid w:val="00297CB2"/>
    <w:rsid w:val="002A21BF"/>
    <w:rsid w:val="002B00D6"/>
    <w:rsid w:val="002B0D4B"/>
    <w:rsid w:val="002B6F39"/>
    <w:rsid w:val="002C43C3"/>
    <w:rsid w:val="002C7380"/>
    <w:rsid w:val="00310127"/>
    <w:rsid w:val="00321B7B"/>
    <w:rsid w:val="003273B8"/>
    <w:rsid w:val="003338A0"/>
    <w:rsid w:val="00335AE8"/>
    <w:rsid w:val="003417A6"/>
    <w:rsid w:val="00344B02"/>
    <w:rsid w:val="00350D65"/>
    <w:rsid w:val="0035432F"/>
    <w:rsid w:val="003606CF"/>
    <w:rsid w:val="00361FCD"/>
    <w:rsid w:val="00366553"/>
    <w:rsid w:val="003670A4"/>
    <w:rsid w:val="00373099"/>
    <w:rsid w:val="00376D24"/>
    <w:rsid w:val="003830B2"/>
    <w:rsid w:val="003A1FAD"/>
    <w:rsid w:val="003B6E5D"/>
    <w:rsid w:val="003C7837"/>
    <w:rsid w:val="003E08ED"/>
    <w:rsid w:val="003E6002"/>
    <w:rsid w:val="003F3936"/>
    <w:rsid w:val="003F74F1"/>
    <w:rsid w:val="004029AA"/>
    <w:rsid w:val="004036B7"/>
    <w:rsid w:val="004053FE"/>
    <w:rsid w:val="004067F3"/>
    <w:rsid w:val="004139EC"/>
    <w:rsid w:val="00414CC6"/>
    <w:rsid w:val="00416235"/>
    <w:rsid w:val="00420D3E"/>
    <w:rsid w:val="004227D6"/>
    <w:rsid w:val="00426624"/>
    <w:rsid w:val="00435044"/>
    <w:rsid w:val="00436C79"/>
    <w:rsid w:val="004372E1"/>
    <w:rsid w:val="0044434A"/>
    <w:rsid w:val="00456982"/>
    <w:rsid w:val="00457768"/>
    <w:rsid w:val="00460DD5"/>
    <w:rsid w:val="00465D4A"/>
    <w:rsid w:val="00470E37"/>
    <w:rsid w:val="004928B3"/>
    <w:rsid w:val="004958F1"/>
    <w:rsid w:val="004A08C8"/>
    <w:rsid w:val="004A52B8"/>
    <w:rsid w:val="004B0C89"/>
    <w:rsid w:val="004B39BD"/>
    <w:rsid w:val="004B5C58"/>
    <w:rsid w:val="004C212D"/>
    <w:rsid w:val="004C22AA"/>
    <w:rsid w:val="004C24A0"/>
    <w:rsid w:val="004C2781"/>
    <w:rsid w:val="004D3FC2"/>
    <w:rsid w:val="004D5439"/>
    <w:rsid w:val="004D54EE"/>
    <w:rsid w:val="004D70CA"/>
    <w:rsid w:val="004E17C4"/>
    <w:rsid w:val="004E6A0F"/>
    <w:rsid w:val="004F1AC2"/>
    <w:rsid w:val="004F3A28"/>
    <w:rsid w:val="004F4ABF"/>
    <w:rsid w:val="004F7B60"/>
    <w:rsid w:val="005032F1"/>
    <w:rsid w:val="00503311"/>
    <w:rsid w:val="0050378C"/>
    <w:rsid w:val="00507DDE"/>
    <w:rsid w:val="00512B90"/>
    <w:rsid w:val="00516787"/>
    <w:rsid w:val="00522D2A"/>
    <w:rsid w:val="0052534E"/>
    <w:rsid w:val="0053096F"/>
    <w:rsid w:val="0053464A"/>
    <w:rsid w:val="00544FD0"/>
    <w:rsid w:val="005475A2"/>
    <w:rsid w:val="005501BE"/>
    <w:rsid w:val="0056110E"/>
    <w:rsid w:val="005636CD"/>
    <w:rsid w:val="005662AB"/>
    <w:rsid w:val="00577700"/>
    <w:rsid w:val="00577D80"/>
    <w:rsid w:val="0058234B"/>
    <w:rsid w:val="00596F62"/>
    <w:rsid w:val="005A0665"/>
    <w:rsid w:val="005A2ADD"/>
    <w:rsid w:val="005A45DC"/>
    <w:rsid w:val="005B65BB"/>
    <w:rsid w:val="005C51D9"/>
    <w:rsid w:val="005D0B35"/>
    <w:rsid w:val="005E4615"/>
    <w:rsid w:val="005E75EE"/>
    <w:rsid w:val="005F27DE"/>
    <w:rsid w:val="005F73AE"/>
    <w:rsid w:val="0060469C"/>
    <w:rsid w:val="006141BF"/>
    <w:rsid w:val="0061790F"/>
    <w:rsid w:val="00622CF8"/>
    <w:rsid w:val="006248A6"/>
    <w:rsid w:val="006321B7"/>
    <w:rsid w:val="0064225A"/>
    <w:rsid w:val="00651463"/>
    <w:rsid w:val="00662055"/>
    <w:rsid w:val="006666F8"/>
    <w:rsid w:val="006746E4"/>
    <w:rsid w:val="006779C4"/>
    <w:rsid w:val="00684894"/>
    <w:rsid w:val="006853C7"/>
    <w:rsid w:val="00686734"/>
    <w:rsid w:val="006A0178"/>
    <w:rsid w:val="006A6B25"/>
    <w:rsid w:val="006B1069"/>
    <w:rsid w:val="006B1FF6"/>
    <w:rsid w:val="006B7414"/>
    <w:rsid w:val="006D3B8B"/>
    <w:rsid w:val="006D540D"/>
    <w:rsid w:val="006D62D3"/>
    <w:rsid w:val="006E1DD7"/>
    <w:rsid w:val="006E42F5"/>
    <w:rsid w:val="006F0E07"/>
    <w:rsid w:val="006F216F"/>
    <w:rsid w:val="0070459F"/>
    <w:rsid w:val="007049EB"/>
    <w:rsid w:val="00711D64"/>
    <w:rsid w:val="00723265"/>
    <w:rsid w:val="0072387F"/>
    <w:rsid w:val="00724282"/>
    <w:rsid w:val="00725B4A"/>
    <w:rsid w:val="0072625E"/>
    <w:rsid w:val="00727CB5"/>
    <w:rsid w:val="0073285B"/>
    <w:rsid w:val="00732D7B"/>
    <w:rsid w:val="00736E03"/>
    <w:rsid w:val="007420F9"/>
    <w:rsid w:val="00762385"/>
    <w:rsid w:val="0076442C"/>
    <w:rsid w:val="00764718"/>
    <w:rsid w:val="00773DD8"/>
    <w:rsid w:val="007813D2"/>
    <w:rsid w:val="00781459"/>
    <w:rsid w:val="00784632"/>
    <w:rsid w:val="007876E4"/>
    <w:rsid w:val="007943AA"/>
    <w:rsid w:val="00796E89"/>
    <w:rsid w:val="007A5773"/>
    <w:rsid w:val="007B79F2"/>
    <w:rsid w:val="007C238E"/>
    <w:rsid w:val="007C5937"/>
    <w:rsid w:val="007D090B"/>
    <w:rsid w:val="007E562A"/>
    <w:rsid w:val="007F1F35"/>
    <w:rsid w:val="007F28F8"/>
    <w:rsid w:val="007F44BD"/>
    <w:rsid w:val="007F70A0"/>
    <w:rsid w:val="008006BA"/>
    <w:rsid w:val="008022F4"/>
    <w:rsid w:val="008074A3"/>
    <w:rsid w:val="00812293"/>
    <w:rsid w:val="0081649D"/>
    <w:rsid w:val="008165CE"/>
    <w:rsid w:val="008231A7"/>
    <w:rsid w:val="00832AF7"/>
    <w:rsid w:val="0083527C"/>
    <w:rsid w:val="008430A0"/>
    <w:rsid w:val="008458A2"/>
    <w:rsid w:val="00851C99"/>
    <w:rsid w:val="008533DC"/>
    <w:rsid w:val="008600EC"/>
    <w:rsid w:val="008626C0"/>
    <w:rsid w:val="00871EAE"/>
    <w:rsid w:val="0088167E"/>
    <w:rsid w:val="00881F72"/>
    <w:rsid w:val="00892211"/>
    <w:rsid w:val="00893E53"/>
    <w:rsid w:val="008975EB"/>
    <w:rsid w:val="00897EF3"/>
    <w:rsid w:val="008A19E4"/>
    <w:rsid w:val="008A2F50"/>
    <w:rsid w:val="008A5E87"/>
    <w:rsid w:val="008C5880"/>
    <w:rsid w:val="008E4CC7"/>
    <w:rsid w:val="008E5B59"/>
    <w:rsid w:val="008E6BF3"/>
    <w:rsid w:val="008F0343"/>
    <w:rsid w:val="008F7B7A"/>
    <w:rsid w:val="009036D4"/>
    <w:rsid w:val="00906627"/>
    <w:rsid w:val="00906630"/>
    <w:rsid w:val="009153BD"/>
    <w:rsid w:val="009219EA"/>
    <w:rsid w:val="0092548D"/>
    <w:rsid w:val="00932740"/>
    <w:rsid w:val="009355B3"/>
    <w:rsid w:val="00936A92"/>
    <w:rsid w:val="0093737F"/>
    <w:rsid w:val="009406A9"/>
    <w:rsid w:val="00942C60"/>
    <w:rsid w:val="009440C4"/>
    <w:rsid w:val="00954E71"/>
    <w:rsid w:val="00955A43"/>
    <w:rsid w:val="0095654F"/>
    <w:rsid w:val="00961016"/>
    <w:rsid w:val="00965677"/>
    <w:rsid w:val="0096707F"/>
    <w:rsid w:val="00971C0B"/>
    <w:rsid w:val="00972100"/>
    <w:rsid w:val="0097237B"/>
    <w:rsid w:val="00975177"/>
    <w:rsid w:val="00980C0D"/>
    <w:rsid w:val="00981CC8"/>
    <w:rsid w:val="009832D2"/>
    <w:rsid w:val="009851D2"/>
    <w:rsid w:val="009A5700"/>
    <w:rsid w:val="009B367C"/>
    <w:rsid w:val="009C27C7"/>
    <w:rsid w:val="009C5A6B"/>
    <w:rsid w:val="009E1AEE"/>
    <w:rsid w:val="009F60A3"/>
    <w:rsid w:val="00A06880"/>
    <w:rsid w:val="00A07392"/>
    <w:rsid w:val="00A1276D"/>
    <w:rsid w:val="00A15FFA"/>
    <w:rsid w:val="00A201C2"/>
    <w:rsid w:val="00A24B63"/>
    <w:rsid w:val="00A40F5C"/>
    <w:rsid w:val="00A443CB"/>
    <w:rsid w:val="00A46F86"/>
    <w:rsid w:val="00A50B27"/>
    <w:rsid w:val="00A64801"/>
    <w:rsid w:val="00A71836"/>
    <w:rsid w:val="00A731C7"/>
    <w:rsid w:val="00A759F3"/>
    <w:rsid w:val="00A81E01"/>
    <w:rsid w:val="00A84483"/>
    <w:rsid w:val="00A928B1"/>
    <w:rsid w:val="00A951D8"/>
    <w:rsid w:val="00A96A74"/>
    <w:rsid w:val="00AB3B9E"/>
    <w:rsid w:val="00AC317D"/>
    <w:rsid w:val="00AD199A"/>
    <w:rsid w:val="00AD65B6"/>
    <w:rsid w:val="00AE0285"/>
    <w:rsid w:val="00AE0462"/>
    <w:rsid w:val="00B01112"/>
    <w:rsid w:val="00B30AB3"/>
    <w:rsid w:val="00B42A4F"/>
    <w:rsid w:val="00B45CC2"/>
    <w:rsid w:val="00B71A9D"/>
    <w:rsid w:val="00B72814"/>
    <w:rsid w:val="00B813A8"/>
    <w:rsid w:val="00B81AB1"/>
    <w:rsid w:val="00B915D3"/>
    <w:rsid w:val="00B97731"/>
    <w:rsid w:val="00BA16F9"/>
    <w:rsid w:val="00BA307A"/>
    <w:rsid w:val="00BB6ED7"/>
    <w:rsid w:val="00BC4397"/>
    <w:rsid w:val="00BC62DF"/>
    <w:rsid w:val="00BE49B7"/>
    <w:rsid w:val="00BE712E"/>
    <w:rsid w:val="00BF3DD1"/>
    <w:rsid w:val="00BF4CC3"/>
    <w:rsid w:val="00C01B59"/>
    <w:rsid w:val="00C07370"/>
    <w:rsid w:val="00C10140"/>
    <w:rsid w:val="00C1142C"/>
    <w:rsid w:val="00C243C4"/>
    <w:rsid w:val="00C40C37"/>
    <w:rsid w:val="00C44D4E"/>
    <w:rsid w:val="00C455CA"/>
    <w:rsid w:val="00C5475F"/>
    <w:rsid w:val="00C56CD4"/>
    <w:rsid w:val="00C579D4"/>
    <w:rsid w:val="00C60414"/>
    <w:rsid w:val="00C60F9E"/>
    <w:rsid w:val="00C6481C"/>
    <w:rsid w:val="00C65E9A"/>
    <w:rsid w:val="00C7308F"/>
    <w:rsid w:val="00C7572D"/>
    <w:rsid w:val="00C76E6C"/>
    <w:rsid w:val="00C80660"/>
    <w:rsid w:val="00C830A2"/>
    <w:rsid w:val="00C85710"/>
    <w:rsid w:val="00C930B9"/>
    <w:rsid w:val="00CA110F"/>
    <w:rsid w:val="00CA241F"/>
    <w:rsid w:val="00CA35F6"/>
    <w:rsid w:val="00CA56A3"/>
    <w:rsid w:val="00CA7238"/>
    <w:rsid w:val="00CC3507"/>
    <w:rsid w:val="00CC3D5C"/>
    <w:rsid w:val="00CD7E7D"/>
    <w:rsid w:val="00CF032E"/>
    <w:rsid w:val="00CF1516"/>
    <w:rsid w:val="00CF3956"/>
    <w:rsid w:val="00D01CFB"/>
    <w:rsid w:val="00D03444"/>
    <w:rsid w:val="00D10447"/>
    <w:rsid w:val="00D11399"/>
    <w:rsid w:val="00D13640"/>
    <w:rsid w:val="00D3621E"/>
    <w:rsid w:val="00D45176"/>
    <w:rsid w:val="00D46C03"/>
    <w:rsid w:val="00D65970"/>
    <w:rsid w:val="00D67C80"/>
    <w:rsid w:val="00D77486"/>
    <w:rsid w:val="00D85359"/>
    <w:rsid w:val="00D90A86"/>
    <w:rsid w:val="00D93B35"/>
    <w:rsid w:val="00DA5B95"/>
    <w:rsid w:val="00DB592D"/>
    <w:rsid w:val="00DC1010"/>
    <w:rsid w:val="00DC4851"/>
    <w:rsid w:val="00DD1C85"/>
    <w:rsid w:val="00DE18D2"/>
    <w:rsid w:val="00DE4931"/>
    <w:rsid w:val="00DE602D"/>
    <w:rsid w:val="00DF0C53"/>
    <w:rsid w:val="00DF13B7"/>
    <w:rsid w:val="00DF43CC"/>
    <w:rsid w:val="00DF64CE"/>
    <w:rsid w:val="00E145AA"/>
    <w:rsid w:val="00E14CEC"/>
    <w:rsid w:val="00E15619"/>
    <w:rsid w:val="00E25EB3"/>
    <w:rsid w:val="00E42E5C"/>
    <w:rsid w:val="00E45FC9"/>
    <w:rsid w:val="00E53875"/>
    <w:rsid w:val="00E6263E"/>
    <w:rsid w:val="00E64BF6"/>
    <w:rsid w:val="00E66217"/>
    <w:rsid w:val="00E74665"/>
    <w:rsid w:val="00E87724"/>
    <w:rsid w:val="00E92CB9"/>
    <w:rsid w:val="00E94E6A"/>
    <w:rsid w:val="00EB18B4"/>
    <w:rsid w:val="00EC0DB5"/>
    <w:rsid w:val="00EC7C13"/>
    <w:rsid w:val="00ED09F6"/>
    <w:rsid w:val="00ED4D7F"/>
    <w:rsid w:val="00ED57BD"/>
    <w:rsid w:val="00EE0438"/>
    <w:rsid w:val="00EF2753"/>
    <w:rsid w:val="00EF3CF7"/>
    <w:rsid w:val="00EF4E89"/>
    <w:rsid w:val="00EF79EC"/>
    <w:rsid w:val="00F2552E"/>
    <w:rsid w:val="00F2637F"/>
    <w:rsid w:val="00F267C8"/>
    <w:rsid w:val="00F27981"/>
    <w:rsid w:val="00F31B3F"/>
    <w:rsid w:val="00F329F5"/>
    <w:rsid w:val="00F33406"/>
    <w:rsid w:val="00F349B8"/>
    <w:rsid w:val="00F53D34"/>
    <w:rsid w:val="00F653DE"/>
    <w:rsid w:val="00F7231E"/>
    <w:rsid w:val="00F7574B"/>
    <w:rsid w:val="00F81A8B"/>
    <w:rsid w:val="00F84DE7"/>
    <w:rsid w:val="00FA06AB"/>
    <w:rsid w:val="00FA581C"/>
    <w:rsid w:val="00FB6FF9"/>
    <w:rsid w:val="00FB70CE"/>
    <w:rsid w:val="00FC38B4"/>
    <w:rsid w:val="00FC3D2A"/>
    <w:rsid w:val="00FD2BDA"/>
    <w:rsid w:val="00FD5AEA"/>
    <w:rsid w:val="00FE06D7"/>
    <w:rsid w:val="00FE3C9F"/>
    <w:rsid w:val="00FE584D"/>
    <w:rsid w:val="00FE6B6D"/>
    <w:rsid w:val="1C107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spacing w:before="100" w:beforeAutospacing="1" w:after="100" w:afterAutospacing="1"/>
    </w:pPr>
    <w:rPr>
      <w:rFonts w:ascii="宋体" w:hAnsi="Times New Roman" w:eastAsia="宋体" w:cs="宋体"/>
      <w:sz w:val="24"/>
    </w:rPr>
  </w:style>
  <w:style w:type="character" w:customStyle="1" w:styleId="7">
    <w:name w:val="页眉 Char"/>
    <w:basedOn w:val="5"/>
    <w:link w:val="3"/>
    <w:qFormat/>
    <w:uiPriority w:val="0"/>
    <w:rPr>
      <w:kern w:val="2"/>
      <w:sz w:val="18"/>
      <w:szCs w:val="24"/>
    </w:rPr>
  </w:style>
  <w:style w:type="character" w:customStyle="1" w:styleId="8">
    <w:name w:val="页脚 Char"/>
    <w:basedOn w:val="5"/>
    <w:link w:val="2"/>
    <w:qFormat/>
    <w:uiPriority w:val="0"/>
    <w:rPr>
      <w:kern w:val="2"/>
      <w:sz w:val="18"/>
      <w:szCs w:val="24"/>
    </w:rPr>
  </w:style>
  <w:style w:type="character" w:customStyle="1" w:styleId="9">
    <w:name w:val="Subtle Emphasis"/>
    <w:basedOn w:val="5"/>
    <w:qFormat/>
    <w:uiPriority w:val="19"/>
    <w:rPr>
      <w:i/>
      <w:iCs/>
      <w:color w:val="808080" w:themeColor="text1" w:themeTint="80"/>
      <w14:textFill>
        <w14:solidFill>
          <w14:schemeClr w14:val="tx1">
            <w14:lumMod w14:val="50000"/>
            <w14:lumOff w14:val="50000"/>
          </w14:schemeClr>
        </w14:solidFill>
      </w14:textFill>
    </w:rPr>
  </w:style>
  <w:style w:type="character" w:customStyle="1" w:styleId="10">
    <w:name w:val="Intense Reference"/>
    <w:basedOn w:val="5"/>
    <w:qFormat/>
    <w:uiPriority w:val="32"/>
    <w:rPr>
      <w:b/>
      <w:bCs/>
      <w:smallCaps/>
      <w:color w:val="ED7D31" w:themeColor="accent2"/>
      <w:spacing w:val="5"/>
      <w:u w:val="single"/>
      <w14:textFill>
        <w14:solidFill>
          <w14:schemeClr w14:val="accent2"/>
        </w14:solidFill>
      </w14:textFill>
    </w:rPr>
  </w:style>
  <w:style w:type="character" w:customStyle="1" w:styleId="11">
    <w:name w:val="Book Title"/>
    <w:basedOn w:val="5"/>
    <w:qFormat/>
    <w:uiPriority w:val="33"/>
    <w:rPr>
      <w:b/>
      <w:bCs/>
      <w:smallCaps/>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870</Words>
  <Characters>4961</Characters>
  <Lines>41</Lines>
  <Paragraphs>11</Paragraphs>
  <TotalTime>1</TotalTime>
  <ScaleCrop>false</ScaleCrop>
  <LinksUpToDate>false</LinksUpToDate>
  <CharactersWithSpaces>5820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2018-09-04T08:23:00Z</dcterms:created>
  <dc:creator>阙璧君</dc:creator>
  <cp:lastModifiedBy>阳光雨歌</cp:lastModifiedBy>
  <dcterms:modified xsi:type="dcterms:W3CDTF">2018-09-04T09:12:40Z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